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9DF6A" w14:textId="6143C19D" w:rsidR="00AF2729" w:rsidRPr="00157F5B" w:rsidRDefault="00AF2729" w:rsidP="00AF2729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157F5B">
        <w:rPr>
          <w:noProof/>
        </w:rPr>
        <w:drawing>
          <wp:inline distT="0" distB="0" distL="0" distR="0" wp14:anchorId="33E03ABB" wp14:editId="55B7C7EF">
            <wp:extent cx="602615" cy="678815"/>
            <wp:effectExtent l="0" t="0" r="6985" b="6985"/>
            <wp:docPr id="755822006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CCA4A" w14:textId="77777777" w:rsidR="00AF2729" w:rsidRPr="00157F5B" w:rsidRDefault="00AF2729" w:rsidP="00AF2729">
      <w:pPr>
        <w:jc w:val="center"/>
        <w:rPr>
          <w:rFonts w:ascii="Kunstler Script" w:hAnsi="Kunstler Script"/>
          <w:sz w:val="104"/>
          <w:szCs w:val="104"/>
        </w:rPr>
      </w:pPr>
      <w:r w:rsidRPr="00157F5B">
        <w:rPr>
          <w:rFonts w:ascii="Kunstler Script" w:hAnsi="Kunstler Script"/>
          <w:sz w:val="104"/>
          <w:szCs w:val="104"/>
        </w:rPr>
        <w:t>Ministero della Giustizia</w:t>
      </w:r>
    </w:p>
    <w:p w14:paraId="1E293820" w14:textId="77777777" w:rsidR="00AF2729" w:rsidRPr="00157F5B" w:rsidRDefault="00AF2729" w:rsidP="00AF2729">
      <w:pPr>
        <w:jc w:val="center"/>
        <w:rPr>
          <w:rFonts w:ascii="Kunstler Script" w:hAnsi="Kunstler Script"/>
          <w:sz w:val="52"/>
          <w:szCs w:val="52"/>
        </w:rPr>
      </w:pPr>
      <w:r w:rsidRPr="00157F5B">
        <w:rPr>
          <w:rFonts w:ascii="Kunstler Script" w:hAnsi="Kunstler Script"/>
          <w:sz w:val="52"/>
          <w:szCs w:val="52"/>
        </w:rPr>
        <w:t>Dipartimento per l’innovazione tecnologica della giustizia,</w:t>
      </w:r>
    </w:p>
    <w:p w14:paraId="157008C0" w14:textId="298814DC" w:rsidR="2F79D3C6" w:rsidRPr="00157F5B" w:rsidRDefault="2F79D3C6" w:rsidP="2F79D3C6"/>
    <w:p w14:paraId="67B53D8F" w14:textId="77777777" w:rsidR="0000165D" w:rsidRPr="00157F5B" w:rsidRDefault="0000165D" w:rsidP="0000165D"/>
    <w:p w14:paraId="2F078BFD" w14:textId="77777777" w:rsidR="0000165D" w:rsidRPr="00157F5B" w:rsidRDefault="0000165D" w:rsidP="0000165D"/>
    <w:p w14:paraId="411E02FF" w14:textId="77777777" w:rsidR="00AF2729" w:rsidRPr="00157F5B" w:rsidRDefault="00AF2729" w:rsidP="0000165D">
      <w:pPr>
        <w:rPr>
          <w:rFonts w:ascii="Palatino Linotype" w:hAnsi="Palatino Linotype"/>
        </w:rPr>
      </w:pPr>
    </w:p>
    <w:p w14:paraId="54079F2B" w14:textId="77777777" w:rsidR="00AF2729" w:rsidRPr="00157F5B" w:rsidRDefault="00AF2729" w:rsidP="0000165D">
      <w:pPr>
        <w:rPr>
          <w:rFonts w:ascii="Palatino Linotype" w:hAnsi="Palatino Linotype"/>
        </w:rPr>
      </w:pPr>
    </w:p>
    <w:p w14:paraId="0AD248D6" w14:textId="77777777" w:rsidR="00AF2729" w:rsidRPr="00157F5B" w:rsidRDefault="00AF2729" w:rsidP="0000165D">
      <w:pPr>
        <w:rPr>
          <w:rFonts w:ascii="Palatino Linotype" w:hAnsi="Palatino Linotype"/>
        </w:rPr>
      </w:pPr>
    </w:p>
    <w:p w14:paraId="138EE967" w14:textId="77777777" w:rsidR="00AF2729" w:rsidRPr="00157F5B" w:rsidRDefault="00AF2729" w:rsidP="0000165D">
      <w:pPr>
        <w:rPr>
          <w:rFonts w:ascii="Palatino Linotype" w:hAnsi="Palatino Linotype"/>
        </w:rPr>
      </w:pPr>
    </w:p>
    <w:p w14:paraId="551DB454" w14:textId="77777777" w:rsidR="00AF2729" w:rsidRPr="00157F5B" w:rsidRDefault="00AF2729" w:rsidP="0000165D">
      <w:pPr>
        <w:rPr>
          <w:rFonts w:ascii="Palatino Linotype" w:hAnsi="Palatino Linotype"/>
        </w:rPr>
      </w:pPr>
    </w:p>
    <w:p w14:paraId="4F92381C" w14:textId="77777777" w:rsidR="0000165D" w:rsidRPr="00157F5B" w:rsidRDefault="0000165D" w:rsidP="0000165D">
      <w:pPr>
        <w:rPr>
          <w:rFonts w:ascii="Palatino Linotype" w:hAnsi="Palatino Linotype"/>
        </w:rPr>
      </w:pPr>
    </w:p>
    <w:p w14:paraId="377F63C9" w14:textId="77777777" w:rsidR="0000165D" w:rsidRPr="00157F5B" w:rsidRDefault="0000165D" w:rsidP="0000165D">
      <w:pPr>
        <w:rPr>
          <w:rFonts w:ascii="Palatino Linotype" w:hAnsi="Palatino Linotype"/>
        </w:rPr>
      </w:pPr>
    </w:p>
    <w:p w14:paraId="2D23F927" w14:textId="77777777" w:rsidR="0000165D" w:rsidRPr="00157F5B" w:rsidRDefault="0000165D" w:rsidP="0000165D">
      <w:pPr>
        <w:rPr>
          <w:rFonts w:ascii="Palatino Linotype" w:hAnsi="Palatino Linotype"/>
        </w:rPr>
      </w:pPr>
    </w:p>
    <w:p w14:paraId="581A0C8E" w14:textId="77777777" w:rsidR="0000165D" w:rsidRPr="00157F5B" w:rsidRDefault="0000165D" w:rsidP="005A3AC9">
      <w:pPr>
        <w:jc w:val="center"/>
        <w:rPr>
          <w:rFonts w:ascii="Palatino Linotype" w:hAnsi="Palatino Linotype"/>
        </w:rPr>
      </w:pPr>
    </w:p>
    <w:p w14:paraId="7A60970C" w14:textId="77777777" w:rsidR="0000165D" w:rsidRPr="00157F5B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157F5B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157F5B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157F5B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157F5B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157F5B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157F5B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157F5B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157F5B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157F5B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15FD95B" w14:textId="67409039" w:rsidR="00D93EF0" w:rsidRPr="00157F5B" w:rsidRDefault="00EC03B8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157F5B">
        <w:rPr>
          <w:rFonts w:ascii="Palatino Linotype" w:hAnsi="Palatino Linotype" w:cstheme="minorHAnsi"/>
          <w:color w:val="000000" w:themeColor="text1"/>
          <w:sz w:val="36"/>
          <w:szCs w:val="36"/>
        </w:rPr>
        <w:t>Accordo quadro ai sensi dell’art. 54 comma 3 del d. lgs. n. 50/2016, per la fornitura di prodotti per la sicurezza perimetrale, protezione degli endpoint e anti-</w:t>
      </w:r>
      <w:r w:rsidR="00157F5B">
        <w:rPr>
          <w:rFonts w:ascii="Palatino Linotype" w:hAnsi="Palatino Linotype" w:cstheme="minorHAnsi"/>
          <w:color w:val="000000" w:themeColor="text1"/>
          <w:sz w:val="36"/>
          <w:szCs w:val="36"/>
        </w:rPr>
        <w:t>APT</w:t>
      </w:r>
      <w:r w:rsidRPr="00157F5B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 ed erogazione di servizi connessi per le pubbliche amministrazioni </w:t>
      </w:r>
      <w:r w:rsidR="000F1C76" w:rsidRPr="00157F5B">
        <w:rPr>
          <w:rFonts w:ascii="Palatino Linotype" w:hAnsi="Palatino Linotype" w:cstheme="minorHAnsi"/>
          <w:color w:val="000000" w:themeColor="text1"/>
          <w:sz w:val="36"/>
          <w:szCs w:val="36"/>
        </w:rPr>
        <w:t>– CIG: 990255246C</w:t>
      </w:r>
    </w:p>
    <w:p w14:paraId="011C830C" w14:textId="77777777" w:rsidR="00DE4EB7" w:rsidRPr="00157F5B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157F5B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157F5B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77777777" w:rsidR="00DE4EB7" w:rsidRPr="00157F5B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157F5B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86732B5" w14:textId="77777777" w:rsidR="00DE4EB7" w:rsidRPr="00157F5B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9BC8041" w14:textId="77777777" w:rsidR="00DE4EB7" w:rsidRPr="00157F5B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/>
        </w:rPr>
        <w:id w:val="1776792512"/>
        <w:docPartObj>
          <w:docPartGallery w:val="Table of Contents"/>
          <w:docPartUnique/>
        </w:docPartObj>
      </w:sdtPr>
      <w:sdtContent>
        <w:p w14:paraId="750B3D5F" w14:textId="77777777" w:rsidR="00DE4EB7" w:rsidRPr="00157F5B" w:rsidRDefault="00DE4EB7" w:rsidP="214346F9">
          <w:pPr>
            <w:rPr>
              <w:rFonts w:ascii="Palatino Linotype" w:eastAsiaTheme="majorEastAsia" w:hAnsi="Palatino Linotype" w:cstheme="minorBidi"/>
              <w:b/>
              <w:bCs/>
              <w:sz w:val="32"/>
              <w:szCs w:val="32"/>
            </w:rPr>
          </w:pPr>
          <w:r w:rsidRPr="00157F5B">
            <w:rPr>
              <w:rFonts w:ascii="Palatino Linotype" w:eastAsiaTheme="majorEastAsia" w:hAnsi="Palatino Linotype" w:cstheme="minorBid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157F5B" w:rsidRDefault="00DE4EB7" w:rsidP="214346F9">
          <w:pPr>
            <w:rPr>
              <w:rFonts w:ascii="Palatino Linotype" w:hAnsi="Palatino Linotype" w:cstheme="minorBidi"/>
              <w:sz w:val="24"/>
              <w:szCs w:val="24"/>
            </w:rPr>
          </w:pPr>
        </w:p>
        <w:p w14:paraId="5DDD2500" w14:textId="37085F47" w:rsidR="00EC03B8" w:rsidRPr="00157F5B" w:rsidRDefault="214346F9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157F5B">
            <w:rPr>
              <w:rFonts w:ascii="Palatino Linotype" w:hAnsi="Palatino Linotype"/>
            </w:rPr>
            <w:fldChar w:fldCharType="begin"/>
          </w:r>
          <w:r w:rsidR="00DE4EB7" w:rsidRPr="00157F5B">
            <w:rPr>
              <w:rFonts w:ascii="Palatino Linotype" w:hAnsi="Palatino Linotype"/>
            </w:rPr>
            <w:instrText>TOC \o "1-3" \h \z \u</w:instrText>
          </w:r>
          <w:r w:rsidRPr="00157F5B">
            <w:rPr>
              <w:rFonts w:ascii="Palatino Linotype" w:hAnsi="Palatino Linotype"/>
            </w:rPr>
            <w:fldChar w:fldCharType="separate"/>
          </w:r>
          <w:hyperlink w:anchor="_Toc193364058" w:history="1">
            <w:r w:rsidR="00EC03B8" w:rsidRPr="00157F5B">
              <w:rPr>
                <w:rStyle w:val="Collegamentoipertestuale"/>
                <w:rFonts w:ascii="Palatino Linotype" w:hAnsi="Palatino Linotype"/>
                <w:noProof/>
              </w:rPr>
              <w:t>1.</w:t>
            </w:r>
            <w:r w:rsidR="00EC03B8" w:rsidRPr="00157F5B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EC03B8" w:rsidRPr="00157F5B">
              <w:rPr>
                <w:rStyle w:val="Collegamentoipertestuale"/>
                <w:rFonts w:ascii="Palatino Linotype" w:hAnsi="Palatino Linotype"/>
                <w:noProof/>
              </w:rPr>
              <w:t>Tabella di sintesi dei dati identificativi del Contratto</w:t>
            </w:r>
            <w:r w:rsidR="00EC03B8" w:rsidRPr="00157F5B">
              <w:rPr>
                <w:noProof/>
                <w:webHidden/>
              </w:rPr>
              <w:tab/>
            </w:r>
            <w:r w:rsidR="00EC03B8" w:rsidRPr="00157F5B">
              <w:rPr>
                <w:noProof/>
                <w:webHidden/>
              </w:rPr>
              <w:fldChar w:fldCharType="begin"/>
            </w:r>
            <w:r w:rsidR="00EC03B8" w:rsidRPr="00157F5B">
              <w:rPr>
                <w:noProof/>
                <w:webHidden/>
              </w:rPr>
              <w:instrText xml:space="preserve"> PAGEREF _Toc193364058 \h </w:instrText>
            </w:r>
            <w:r w:rsidR="00EC03B8" w:rsidRPr="00157F5B">
              <w:rPr>
                <w:noProof/>
                <w:webHidden/>
              </w:rPr>
            </w:r>
            <w:r w:rsidR="00EC03B8" w:rsidRPr="00157F5B">
              <w:rPr>
                <w:noProof/>
                <w:webHidden/>
              </w:rPr>
              <w:fldChar w:fldCharType="separate"/>
            </w:r>
            <w:r w:rsidR="00EC03B8" w:rsidRPr="00157F5B">
              <w:rPr>
                <w:noProof/>
                <w:webHidden/>
              </w:rPr>
              <w:t>3</w:t>
            </w:r>
            <w:r w:rsidR="00EC03B8" w:rsidRPr="00157F5B">
              <w:rPr>
                <w:noProof/>
                <w:webHidden/>
              </w:rPr>
              <w:fldChar w:fldCharType="end"/>
            </w:r>
          </w:hyperlink>
        </w:p>
        <w:p w14:paraId="07E16764" w14:textId="5170AE44" w:rsidR="00EC03B8" w:rsidRPr="00157F5B" w:rsidRDefault="00EC03B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59" w:history="1">
            <w:r w:rsidRPr="00157F5B">
              <w:rPr>
                <w:rStyle w:val="Collegamentoipertestuale"/>
                <w:rFonts w:ascii="Palatino Linotype" w:hAnsi="Palatino Linotype"/>
                <w:noProof/>
              </w:rPr>
              <w:t>2.</w:t>
            </w:r>
            <w:r w:rsidRPr="00157F5B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noProof/>
              </w:rPr>
              <w:t>Executive Summary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_Toc193364059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4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6D481A80" w14:textId="576474F9" w:rsidR="00EC03B8" w:rsidRPr="00157F5B" w:rsidRDefault="00EC03B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0" w:history="1"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2.1</w:t>
            </w:r>
            <w:r w:rsidRPr="00157F5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Descrizione Sommaria dell’iniziativa contrattuale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_Toc193364060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4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022DA307" w14:textId="6FF7A158" w:rsidR="00EC03B8" w:rsidRPr="00157F5B" w:rsidRDefault="00EC03B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1" w:history="1">
            <w:r w:rsidRPr="00157F5B">
              <w:rPr>
                <w:rStyle w:val="Collegamentoipertestuale"/>
                <w:rFonts w:ascii="Palatino Linotype" w:hAnsi="Palatino Linotype"/>
                <w:noProof/>
              </w:rPr>
              <w:t>3.</w:t>
            </w:r>
            <w:r w:rsidRPr="00157F5B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noProof/>
              </w:rPr>
              <w:t>Obiettivi Contrattuali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_Toc193364061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4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2BD40734" w14:textId="281D753B" w:rsidR="00EC03B8" w:rsidRPr="00157F5B" w:rsidRDefault="00EC03B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2" w:history="1">
            <w:r w:rsidRPr="00157F5B">
              <w:rPr>
                <w:rStyle w:val="Collegamentoipertestuale"/>
                <w:rFonts w:ascii="Palatino Linotype" w:hAnsi="Palatino Linotype"/>
                <w:noProof/>
              </w:rPr>
              <w:t>4.</w:t>
            </w:r>
            <w:r w:rsidRPr="00157F5B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noProof/>
              </w:rPr>
              <w:t>Esecuzione del contratto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_Toc193364062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6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0025308F" w14:textId="52B1BF7D" w:rsidR="00EC03B8" w:rsidRPr="00157F5B" w:rsidRDefault="00EC03B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3" w:history="1"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4.1</w:t>
            </w:r>
            <w:r w:rsidRPr="00157F5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Stato di avanzamento - SAL e SAC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_Toc193364063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6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2DC4A030" w14:textId="792E9C5B" w:rsidR="00EC03B8" w:rsidRPr="00157F5B" w:rsidRDefault="00EC03B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4" w:history="1"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4.2</w:t>
            </w:r>
            <w:r w:rsidRPr="00157F5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Indicatori di monitoraggio e livelli di servizio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_Toc193364064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6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6B421ACB" w14:textId="110E7C79" w:rsidR="00EC03B8" w:rsidRPr="00157F5B" w:rsidRDefault="00EC03B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5" w:history="1"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4.3</w:t>
            </w:r>
            <w:r w:rsidRPr="00157F5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Eventuali innovazioni tecnologiche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_Toc193364065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7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620ABF4D" w14:textId="567304A1" w:rsidR="00EC03B8" w:rsidRPr="00157F5B" w:rsidRDefault="00EC03B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6" w:history="1"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4.4</w:t>
            </w:r>
            <w:r w:rsidRPr="00157F5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Aspetti della eventuale non conformità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_Toc193364066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7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5159D9FE" w14:textId="3EBD1ABF" w:rsidR="00EC03B8" w:rsidRPr="00157F5B" w:rsidRDefault="00EC03B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364067" w:history="1"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4.5</w:t>
            </w:r>
            <w:r w:rsidRPr="00157F5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157F5B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Indicazioni per la Governance</w:t>
            </w:r>
            <w:r w:rsidRPr="00157F5B">
              <w:rPr>
                <w:noProof/>
                <w:webHidden/>
              </w:rPr>
              <w:tab/>
            </w:r>
            <w:r w:rsidRPr="00157F5B">
              <w:rPr>
                <w:noProof/>
                <w:webHidden/>
              </w:rPr>
              <w:fldChar w:fldCharType="begin"/>
            </w:r>
            <w:r w:rsidRPr="00157F5B">
              <w:rPr>
                <w:noProof/>
                <w:webHidden/>
              </w:rPr>
              <w:instrText xml:space="preserve"> PAGEREF _Toc193364067 \h </w:instrText>
            </w:r>
            <w:r w:rsidRPr="00157F5B">
              <w:rPr>
                <w:noProof/>
                <w:webHidden/>
              </w:rPr>
            </w:r>
            <w:r w:rsidRPr="00157F5B">
              <w:rPr>
                <w:noProof/>
                <w:webHidden/>
              </w:rPr>
              <w:fldChar w:fldCharType="separate"/>
            </w:r>
            <w:r w:rsidRPr="00157F5B">
              <w:rPr>
                <w:noProof/>
                <w:webHidden/>
              </w:rPr>
              <w:t>7</w:t>
            </w:r>
            <w:r w:rsidRPr="00157F5B">
              <w:rPr>
                <w:noProof/>
                <w:webHidden/>
              </w:rPr>
              <w:fldChar w:fldCharType="end"/>
            </w:r>
          </w:hyperlink>
        </w:p>
        <w:p w14:paraId="66F5C553" w14:textId="7F0CCA20" w:rsidR="214346F9" w:rsidRPr="00157F5B" w:rsidRDefault="214346F9" w:rsidP="214346F9">
          <w:pPr>
            <w:pStyle w:val="Sommario3"/>
            <w:tabs>
              <w:tab w:val="left" w:pos="870"/>
              <w:tab w:val="right" w:leader="dot" w:pos="9360"/>
            </w:tabs>
            <w:rPr>
              <w:rStyle w:val="Collegamentoipertestuale"/>
              <w:rFonts w:ascii="Palatino Linotype" w:hAnsi="Palatino Linotype"/>
            </w:rPr>
          </w:pPr>
          <w:r w:rsidRPr="00157F5B">
            <w:rPr>
              <w:rFonts w:ascii="Palatino Linotype" w:hAnsi="Palatino Linotype"/>
            </w:rPr>
            <w:fldChar w:fldCharType="end"/>
          </w:r>
        </w:p>
      </w:sdtContent>
    </w:sdt>
    <w:p w14:paraId="5448C721" w14:textId="634157EE" w:rsidR="00DE4EB7" w:rsidRPr="00157F5B" w:rsidRDefault="00DE4EB7" w:rsidP="214346F9">
      <w:pPr>
        <w:rPr>
          <w:rFonts w:ascii="Palatino Linotype" w:hAnsi="Palatino Linotype" w:cstheme="minorBidi"/>
          <w:b/>
          <w:bCs/>
          <w:noProof/>
        </w:rPr>
      </w:pPr>
    </w:p>
    <w:p w14:paraId="070C1808" w14:textId="77777777" w:rsidR="00DE4EB7" w:rsidRPr="00157F5B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157F5B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157F5B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157F5B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157F5B">
        <w:rPr>
          <w:rFonts w:ascii="Palatino Linotype" w:hAnsi="Palatino Linotype" w:cstheme="minorHAnsi"/>
        </w:rPr>
        <w:br w:type="page"/>
      </w:r>
    </w:p>
    <w:p w14:paraId="12C6DDCE" w14:textId="2316E69C" w:rsidR="00AA5D6B" w:rsidRPr="00157F5B" w:rsidRDefault="006A50D8" w:rsidP="214346F9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Bidi"/>
        </w:rPr>
      </w:pPr>
      <w:bookmarkStart w:id="0" w:name="_Toc193364058"/>
      <w:r w:rsidRPr="00157F5B">
        <w:rPr>
          <w:rFonts w:ascii="Palatino Linotype" w:hAnsi="Palatino Linotype" w:cstheme="minorBidi"/>
        </w:rPr>
        <w:lastRenderedPageBreak/>
        <w:t>Tabella</w:t>
      </w:r>
      <w:r w:rsidR="0000165D" w:rsidRPr="00157F5B">
        <w:rPr>
          <w:rFonts w:ascii="Palatino Linotype" w:hAnsi="Palatino Linotype" w:cstheme="minorBidi"/>
        </w:rPr>
        <w:t xml:space="preserve"> di sintesi d</w:t>
      </w:r>
      <w:r w:rsidR="00B51B57" w:rsidRPr="00157F5B">
        <w:rPr>
          <w:rFonts w:ascii="Palatino Linotype" w:hAnsi="Palatino Linotype" w:cstheme="minorBidi"/>
        </w:rPr>
        <w:t>ei dati identificativi</w:t>
      </w:r>
      <w:r w:rsidRPr="00157F5B">
        <w:rPr>
          <w:rFonts w:ascii="Palatino Linotype" w:hAnsi="Palatino Linotype" w:cstheme="minorBidi"/>
        </w:rPr>
        <w:t xml:space="preserve"> del Contratto</w:t>
      </w:r>
      <w:bookmarkEnd w:id="0"/>
      <w:r w:rsidR="0000165D" w:rsidRPr="00157F5B">
        <w:rPr>
          <w:rFonts w:ascii="Palatino Linotype" w:hAnsi="Palatino Linotype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157F5B" w14:paraId="6E5B7CA5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157F5B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725635BE" w:rsidR="00B51B57" w:rsidRPr="00157F5B" w:rsidRDefault="00B51B57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="009F7531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DC7A86" w:rsidRPr="00157F5B" w14:paraId="4502D465" w14:textId="77777777" w:rsidTr="2D8C1289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DC7A86" w:rsidRPr="00157F5B" w:rsidRDefault="00DC7A86" w:rsidP="00DC7A86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</w:tcPr>
          <w:p w14:paraId="04978CD7" w14:textId="2C5DB334" w:rsidR="00DC7A86" w:rsidRPr="00157F5B" w:rsidRDefault="00EC03B8" w:rsidP="00DC7A8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lang w:val="it-IT"/>
              </w:rPr>
              <w:t>Accordo quadro ai sensi dell’art. 54 comma 3 del d. lgs. n. 50/2016, per la fornitura di prodotti per la sicurezza perimetrale, protezione degli endpoint e anti-</w:t>
            </w:r>
            <w:r w:rsidR="00157F5B">
              <w:rPr>
                <w:rFonts w:ascii="Palatino Linotype" w:hAnsi="Palatino Linotype"/>
                <w:lang w:val="it-IT"/>
              </w:rPr>
              <w:t>APT</w:t>
            </w:r>
            <w:r w:rsidRPr="00157F5B">
              <w:rPr>
                <w:rFonts w:ascii="Palatino Linotype" w:hAnsi="Palatino Linotype"/>
                <w:lang w:val="it-IT"/>
              </w:rPr>
              <w:t xml:space="preserve"> ed erogazione di servizi connessi per le pubbliche amministrazioni</w:t>
            </w:r>
          </w:p>
        </w:tc>
      </w:tr>
      <w:tr w:rsidR="00DC7A86" w:rsidRPr="00157F5B" w14:paraId="38760E71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DC7A86" w:rsidRPr="00157F5B" w:rsidRDefault="00DC7A86" w:rsidP="00DC7A86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389ACD14" w:rsidR="00DC7A86" w:rsidRPr="00157F5B" w:rsidRDefault="00DC7A86" w:rsidP="00DC7A8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990255246C</w:t>
            </w:r>
          </w:p>
        </w:tc>
      </w:tr>
      <w:tr w:rsidR="00DC7A86" w:rsidRPr="00157F5B" w14:paraId="6A8E9D7F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DC7A86" w:rsidRPr="00157F5B" w:rsidRDefault="00DC7A86" w:rsidP="00DC7A86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presente)</w:t>
            </w:r>
          </w:p>
        </w:tc>
        <w:tc>
          <w:tcPr>
            <w:tcW w:w="5145" w:type="dxa"/>
            <w:vAlign w:val="center"/>
          </w:tcPr>
          <w:p w14:paraId="6DEAFA3B" w14:textId="0D496D8E" w:rsidR="00DC7A86" w:rsidRPr="00157F5B" w:rsidRDefault="00A176A6" w:rsidP="00DC7A8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80558D" w:rsidRPr="00157F5B" w14:paraId="27FE6AB9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56AFE68" w14:textId="1FDF54B6" w:rsidR="0080558D" w:rsidRPr="00157F5B" w:rsidRDefault="008D0FFA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Importo originario: </w:t>
            </w:r>
            <w:r w:rsidR="00875F3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6.509.267,28 </w:t>
            </w:r>
            <w:r w:rsidR="00384349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€</w:t>
            </w:r>
          </w:p>
          <w:p w14:paraId="77F1E22C" w14:textId="4358C269" w:rsidR="008D0FFA" w:rsidRPr="00157F5B" w:rsidRDefault="008D0FFA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Variazione </w:t>
            </w:r>
            <w:r w:rsidR="00BE51F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i</w:t>
            </w: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mporto: -</w:t>
            </w:r>
            <w:r w:rsidR="00BE51F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875F3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315.00,00</w:t>
            </w: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€</w:t>
            </w:r>
          </w:p>
          <w:p w14:paraId="1292E240" w14:textId="430DF69E" w:rsidR="008D0FFA" w:rsidRPr="00157F5B" w:rsidRDefault="008D0FFA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Importo </w:t>
            </w:r>
            <w:r w:rsidR="00BE51F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complessivo: 6.</w:t>
            </w:r>
            <w:r w:rsidR="00875F3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194.267</w:t>
            </w:r>
            <w:r w:rsidR="00BE51F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,28 €</w:t>
            </w:r>
          </w:p>
        </w:tc>
      </w:tr>
      <w:tr w:rsidR="0080558D" w:rsidRPr="00157F5B" w14:paraId="3438323E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75536911" w14:textId="16C865C0" w:rsidR="009248A8" w:rsidRPr="00157F5B" w:rsidRDefault="009248A8" w:rsidP="009248A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Importo originario: </w:t>
            </w:r>
            <w:r w:rsidR="00875F3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7.941.306,08</w:t>
            </w: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€</w:t>
            </w:r>
          </w:p>
          <w:p w14:paraId="1A5B1EFE" w14:textId="6C4999E3" w:rsidR="009248A8" w:rsidRPr="00157F5B" w:rsidRDefault="009248A8" w:rsidP="009248A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Variazione importo: </w:t>
            </w:r>
            <w:r w:rsidR="0013778F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- </w:t>
            </w:r>
            <w:r w:rsidR="00875F3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384.300,00</w:t>
            </w:r>
            <w:r w:rsidR="0013778F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€</w:t>
            </w:r>
          </w:p>
          <w:p w14:paraId="2BDC0F00" w14:textId="75614873" w:rsidR="009248A8" w:rsidRPr="00157F5B" w:rsidRDefault="009248A8" w:rsidP="009248A8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Importo complessivo: </w:t>
            </w:r>
            <w:r w:rsidR="00875F37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7.557.006,08</w:t>
            </w:r>
            <w:r w:rsidR="0013778F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€</w:t>
            </w:r>
          </w:p>
        </w:tc>
      </w:tr>
      <w:tr w:rsidR="0080558D" w:rsidRPr="00157F5B" w14:paraId="241CFDBD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6A201887" w:rsidR="0080558D" w:rsidRPr="00157F5B" w:rsidRDefault="0080558D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Telecom Italia Spa</w:t>
            </w:r>
          </w:p>
        </w:tc>
      </w:tr>
      <w:tr w:rsidR="0080558D" w:rsidRPr="00157F5B" w14:paraId="2839420A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80558D" w:rsidRPr="00157F5B" w:rsidRDefault="0080558D" w:rsidP="0080558D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37D66681" w:rsidR="0080558D" w:rsidRPr="00157F5B" w:rsidRDefault="0084257C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Variazione importo contrattuale</w:t>
            </w:r>
          </w:p>
        </w:tc>
      </w:tr>
      <w:tr w:rsidR="0080558D" w:rsidRPr="00157F5B" w14:paraId="2EEA6F86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038E7C26" w:rsidR="0080558D" w:rsidRPr="00157F5B" w:rsidRDefault="0080558D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Enrico Maresca</w:t>
            </w:r>
          </w:p>
        </w:tc>
      </w:tr>
      <w:tr w:rsidR="0080558D" w:rsidRPr="00157F5B" w14:paraId="06BF52FB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574CF1A1" w:rsidR="0080558D" w:rsidRPr="00157F5B" w:rsidRDefault="0080558D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Marco Moretti</w:t>
            </w:r>
          </w:p>
        </w:tc>
      </w:tr>
      <w:tr w:rsidR="0080558D" w:rsidRPr="00157F5B" w14:paraId="0EBE05E0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671AAB6D" w:rsidR="0080558D" w:rsidRPr="00157F5B" w:rsidRDefault="009453A7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80558D" w:rsidRPr="00157F5B" w14:paraId="0256F833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della versione con evidenza delle variazioni intervenute (eventuale, in caso di riemissione)</w:t>
            </w:r>
          </w:p>
        </w:tc>
        <w:tc>
          <w:tcPr>
            <w:tcW w:w="5145" w:type="dxa"/>
            <w:vAlign w:val="center"/>
          </w:tcPr>
          <w:p w14:paraId="5C13E577" w14:textId="1F2AF9F9" w:rsidR="0080558D" w:rsidRPr="00157F5B" w:rsidRDefault="0080558D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80558D" w:rsidRPr="00157F5B" w14:paraId="6A0D8383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37272A0C" w:rsidR="0080558D" w:rsidRPr="00157F5B" w:rsidRDefault="0080558D" w:rsidP="00BD0E92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</w:t>
            </w:r>
            <w:r w:rsidR="00BD0E92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ai fini del Rapporto </w:t>
            </w: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5145" w:type="dxa"/>
            <w:vAlign w:val="center"/>
          </w:tcPr>
          <w:p w14:paraId="5DC1ACC2" w14:textId="2CCC74D2" w:rsidR="0080558D" w:rsidRPr="00157F5B" w:rsidRDefault="00CD5F14" w:rsidP="2D8C1289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01/</w:t>
            </w:r>
            <w:r w:rsidR="00C402F1"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04</w:t>
            </w:r>
            <w:r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84257C"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202</w:t>
            </w:r>
            <w:r w:rsidR="00C402F1"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r w:rsidR="0080558D"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="0084257C"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– </w:t>
            </w:r>
            <w:r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C402F1"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C402F1"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09</w:t>
            </w:r>
            <w:r w:rsidRPr="2D8C1289">
              <w:rPr>
                <w:rFonts w:ascii="Palatino Linotype" w:hAnsi="Palatino Linotype"/>
                <w:sz w:val="24"/>
                <w:szCs w:val="24"/>
                <w:lang w:val="it-IT"/>
              </w:rPr>
              <w:t>/2025</w:t>
            </w:r>
          </w:p>
        </w:tc>
      </w:tr>
      <w:tr w:rsidR="0080558D" w:rsidRPr="00157F5B" w14:paraId="0FA611E2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0542AEA4" w:rsidR="0080558D" w:rsidRPr="00157F5B" w:rsidRDefault="00520E26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="0080558D" w:rsidRPr="00157F5B" w14:paraId="56D064E7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Referente di monitoraggio dell’Amministrazione (nome e </w:t>
            </w: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2DFA1380" w:rsidR="0080558D" w:rsidRPr="00157F5B" w:rsidRDefault="004343A7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Luigi Pagnotta</w:t>
            </w:r>
          </w:p>
        </w:tc>
      </w:tr>
      <w:tr w:rsidR="0080558D" w:rsidRPr="00157F5B" w14:paraId="58804106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51A817B9" w:rsidR="0080558D" w:rsidRPr="00157F5B" w:rsidRDefault="00520E26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31</w:t>
            </w:r>
            <w:r w:rsidR="00BD0E92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="003764CE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BD0E92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3764CE"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80558D" w:rsidRPr="00157F5B" w14:paraId="4BF10B84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415DF0F0" w14:textId="11E7A2F9" w:rsidR="0080558D" w:rsidRPr="00157F5B" w:rsidRDefault="0084257C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80558D" w:rsidRPr="00157F5B" w14:paraId="3CE55E2C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</w:tcPr>
          <w:p w14:paraId="631F2543" w14:textId="4D5C0602" w:rsidR="0080558D" w:rsidRPr="00157F5B" w:rsidRDefault="0080558D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lang w:val="it-IT"/>
              </w:rPr>
              <w:t xml:space="preserve">FORNITURA DI PRODOTTI PER LA SICUREZZA PERIMETRALE, </w:t>
            </w:r>
            <w:r w:rsidR="00105343" w:rsidRPr="00157F5B">
              <w:rPr>
                <w:rFonts w:ascii="Palatino Linotype" w:hAnsi="Palatino Linotype"/>
                <w:lang w:val="it-IT"/>
              </w:rPr>
              <w:t xml:space="preserve">PER LA </w:t>
            </w:r>
            <w:r w:rsidRPr="00157F5B">
              <w:rPr>
                <w:rFonts w:ascii="Palatino Linotype" w:hAnsi="Palatino Linotype"/>
                <w:lang w:val="it-IT"/>
              </w:rPr>
              <w:t>PROTEZIONE DEGLI ENDPOINT E ANTI-APT ED EROGAZIONE DI SERVIZI CONNESSI PER LE PUBBLICHE AMMINISTRAZIONI</w:t>
            </w:r>
          </w:p>
        </w:tc>
      </w:tr>
      <w:tr w:rsidR="0080558D" w:rsidRPr="00157F5B" w14:paraId="1CECD743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0EA36FC4" w:rsidR="0080558D" w:rsidRPr="00157F5B" w:rsidRDefault="00042B76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26/06/2023</w:t>
            </w:r>
          </w:p>
        </w:tc>
      </w:tr>
      <w:tr w:rsidR="0080558D" w:rsidRPr="00157F5B" w14:paraId="4BE981BE" w14:textId="77777777" w:rsidTr="2D8C1289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80558D" w:rsidRPr="00157F5B" w:rsidRDefault="0080558D" w:rsidP="0080558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52957D2E" w:rsidR="0080558D" w:rsidRPr="00157F5B" w:rsidRDefault="00B93881" w:rsidP="0080558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/>
                <w:sz w:val="24"/>
                <w:szCs w:val="24"/>
                <w:lang w:val="it-IT"/>
              </w:rPr>
              <w:t>10/11/2023 – 10/05/2026</w:t>
            </w:r>
          </w:p>
        </w:tc>
      </w:tr>
    </w:tbl>
    <w:p w14:paraId="66F1C582" w14:textId="10792F41" w:rsidR="00157F5B" w:rsidRPr="00157F5B" w:rsidRDefault="00157F5B" w:rsidP="00774E77">
      <w:pPr>
        <w:rPr>
          <w:rFonts w:ascii="Palatino Linotype" w:hAnsi="Palatino Linotype"/>
        </w:rPr>
      </w:pPr>
    </w:p>
    <w:p w14:paraId="2F41F5A3" w14:textId="2806C808" w:rsidR="001F1019" w:rsidRPr="00157F5B" w:rsidRDefault="00157F5B" w:rsidP="00157F5B">
      <w:pPr>
        <w:widowControl/>
        <w:autoSpaceDE/>
        <w:autoSpaceDN/>
        <w:spacing w:after="160" w:line="259" w:lineRule="auto"/>
        <w:rPr>
          <w:rFonts w:ascii="Palatino Linotype" w:hAnsi="Palatino Linotype"/>
        </w:rPr>
      </w:pPr>
      <w:r w:rsidRPr="00157F5B">
        <w:rPr>
          <w:rFonts w:ascii="Palatino Linotype" w:hAnsi="Palatino Linotype"/>
        </w:rPr>
        <w:br w:type="page"/>
      </w:r>
    </w:p>
    <w:p w14:paraId="545302C6" w14:textId="74AB096E" w:rsidR="000032D6" w:rsidRPr="00157F5B" w:rsidRDefault="00AA5D6B" w:rsidP="214346F9">
      <w:pPr>
        <w:pStyle w:val="Titolo1"/>
        <w:numPr>
          <w:ilvl w:val="0"/>
          <w:numId w:val="1"/>
        </w:numPr>
        <w:rPr>
          <w:rFonts w:ascii="Palatino Linotype" w:hAnsi="Palatino Linotype" w:cstheme="minorBidi"/>
        </w:rPr>
      </w:pPr>
      <w:bookmarkStart w:id="1" w:name="_Toc193364059"/>
      <w:r w:rsidRPr="00157F5B">
        <w:rPr>
          <w:rFonts w:ascii="Palatino Linotype" w:hAnsi="Palatino Linotype" w:cstheme="minorBidi"/>
        </w:rPr>
        <w:lastRenderedPageBreak/>
        <w:t>E</w:t>
      </w:r>
      <w:r w:rsidR="007A38E5" w:rsidRPr="00157F5B">
        <w:rPr>
          <w:rFonts w:ascii="Palatino Linotype" w:hAnsi="Palatino Linotype" w:cstheme="minorBidi"/>
        </w:rPr>
        <w:t xml:space="preserve">xecutive </w:t>
      </w:r>
      <w:r w:rsidRPr="00157F5B">
        <w:rPr>
          <w:rFonts w:ascii="Palatino Linotype" w:hAnsi="Palatino Linotype" w:cstheme="minorBidi"/>
        </w:rPr>
        <w:t>S</w:t>
      </w:r>
      <w:r w:rsidR="007A38E5" w:rsidRPr="00157F5B">
        <w:rPr>
          <w:rFonts w:ascii="Palatino Linotype" w:hAnsi="Palatino Linotype" w:cstheme="minorBidi"/>
        </w:rPr>
        <w:t>ummary</w:t>
      </w:r>
      <w:bookmarkEnd w:id="1"/>
    </w:p>
    <w:p w14:paraId="665E6C45" w14:textId="77777777" w:rsidR="00B8005C" w:rsidRPr="00157F5B" w:rsidRDefault="00B8005C" w:rsidP="00B8005C">
      <w:pPr>
        <w:pStyle w:val="Titolo1"/>
        <w:ind w:left="720" w:firstLine="0"/>
        <w:rPr>
          <w:rFonts w:ascii="Palatino Linotype" w:hAnsi="Palatino Linotype" w:cstheme="minorBidi"/>
        </w:rPr>
      </w:pPr>
    </w:p>
    <w:p w14:paraId="0DE66EA6" w14:textId="2EFA98E5" w:rsidR="00233787" w:rsidRPr="00157F5B" w:rsidRDefault="00C850DC" w:rsidP="214346F9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2" w:name="_Toc193364060"/>
      <w:r w:rsidRPr="00157F5B">
        <w:rPr>
          <w:rFonts w:ascii="Palatino Linotype" w:eastAsia="Times New Roman" w:hAnsi="Palatino Linotype" w:cstheme="minorBidi"/>
          <w:b/>
          <w:bCs/>
          <w:color w:val="auto"/>
        </w:rPr>
        <w:t>Descrizione Sommaria dell’iniziativa contrattuale</w:t>
      </w:r>
      <w:bookmarkEnd w:id="2"/>
    </w:p>
    <w:p w14:paraId="64C28BBC" w14:textId="0D24FF46" w:rsidR="00F265FE" w:rsidRPr="00157F5B" w:rsidRDefault="00F265FE" w:rsidP="00F265FE">
      <w:p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 xml:space="preserve">Di seguito vengo riportati i servizi </w:t>
      </w:r>
      <w:r w:rsidR="00BD0E92" w:rsidRPr="00157F5B">
        <w:rPr>
          <w:rFonts w:ascii="Palatino Linotype" w:hAnsi="Palatino Linotype" w:cstheme="minorHAnsi"/>
          <w:sz w:val="24"/>
          <w:szCs w:val="24"/>
        </w:rPr>
        <w:t xml:space="preserve">acquistati con l’iniziativa ed </w:t>
      </w:r>
      <w:r w:rsidRPr="00157F5B">
        <w:rPr>
          <w:rFonts w:ascii="Palatino Linotype" w:hAnsi="Palatino Linotype" w:cstheme="minorHAnsi"/>
          <w:sz w:val="24"/>
          <w:szCs w:val="24"/>
        </w:rPr>
        <w:t>erogati:</w:t>
      </w:r>
    </w:p>
    <w:p w14:paraId="3A15EEB5" w14:textId="6305807F" w:rsidR="00F265FE" w:rsidRPr="00157F5B" w:rsidRDefault="00F265FE" w:rsidP="00E94156">
      <w:pPr>
        <w:pStyle w:val="Paragrafoelenco"/>
        <w:numPr>
          <w:ilvl w:val="0"/>
          <w:numId w:val="32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Network Access Control</w:t>
      </w:r>
    </w:p>
    <w:p w14:paraId="271022DE" w14:textId="3C0C438F" w:rsidR="00F265FE" w:rsidRPr="00157F5B" w:rsidRDefault="00F265FE" w:rsidP="00E94156">
      <w:pPr>
        <w:pStyle w:val="Paragrafoelenco"/>
        <w:numPr>
          <w:ilvl w:val="0"/>
          <w:numId w:val="32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Endpoint Protection, Detection &amp; Response Platform</w:t>
      </w:r>
    </w:p>
    <w:p w14:paraId="433BAEBB" w14:textId="63AB0669" w:rsidR="00F265FE" w:rsidRPr="00157F5B" w:rsidRDefault="00F265FE" w:rsidP="00E94156">
      <w:pPr>
        <w:pStyle w:val="Paragrafoelenco"/>
        <w:numPr>
          <w:ilvl w:val="0"/>
          <w:numId w:val="32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Servizio di Supporto Specialistico</w:t>
      </w:r>
    </w:p>
    <w:p w14:paraId="6DD18CAE" w14:textId="11B30137" w:rsidR="00E94156" w:rsidRPr="00157F5B" w:rsidRDefault="00F265FE" w:rsidP="00E94156">
      <w:pPr>
        <w:pStyle w:val="Paragrafoelenco"/>
        <w:numPr>
          <w:ilvl w:val="0"/>
          <w:numId w:val="32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Servizi di manutenzione</w:t>
      </w:r>
      <w:r w:rsidR="00BD0E92" w:rsidRPr="00157F5B">
        <w:rPr>
          <w:rFonts w:ascii="Palatino Linotype" w:hAnsi="Palatino Linotype" w:cstheme="minorHAnsi"/>
          <w:sz w:val="24"/>
          <w:szCs w:val="24"/>
        </w:rPr>
        <w:t xml:space="preserve"> sui prodotti acquistati</w:t>
      </w:r>
    </w:p>
    <w:p w14:paraId="58204741" w14:textId="77777777" w:rsidR="00E94156" w:rsidRPr="00157F5B" w:rsidRDefault="00E94156" w:rsidP="00E9415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3D03ADA2" w14:textId="6E567912" w:rsidR="00E94156" w:rsidRPr="00157F5B" w:rsidRDefault="00E94156" w:rsidP="00E94156">
      <w:p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 xml:space="preserve">Il valore complessivo massimo del contratto è </w:t>
      </w:r>
      <w:r w:rsidR="009248A8" w:rsidRPr="00157F5B">
        <w:rPr>
          <w:rFonts w:ascii="Palatino Linotype" w:hAnsi="Palatino Linotype" w:cstheme="minorHAnsi"/>
          <w:sz w:val="24"/>
          <w:szCs w:val="24"/>
        </w:rPr>
        <w:t xml:space="preserve">6.509.267,28 € </w:t>
      </w:r>
      <w:r w:rsidRPr="00157F5B">
        <w:rPr>
          <w:rFonts w:ascii="Palatino Linotype" w:hAnsi="Palatino Linotype" w:cstheme="minorHAnsi"/>
          <w:sz w:val="24"/>
          <w:szCs w:val="24"/>
        </w:rPr>
        <w:t>IVA esclusa.</w:t>
      </w:r>
    </w:p>
    <w:p w14:paraId="5CCB6C3A" w14:textId="77777777" w:rsidR="00E94156" w:rsidRPr="00157F5B" w:rsidRDefault="00E94156" w:rsidP="00E9415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102C3A15" w14:textId="77777777" w:rsidR="001E4C77" w:rsidRPr="00157F5B" w:rsidRDefault="001E4C77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0FA44F7F" w14:textId="46537706" w:rsidR="00474D52" w:rsidRPr="00157F5B" w:rsidRDefault="00233787" w:rsidP="214346F9">
      <w:pPr>
        <w:pStyle w:val="Titolo1"/>
        <w:numPr>
          <w:ilvl w:val="0"/>
          <w:numId w:val="1"/>
        </w:numPr>
        <w:rPr>
          <w:rFonts w:ascii="Palatino Linotype" w:hAnsi="Palatino Linotype" w:cstheme="minorBidi"/>
        </w:rPr>
      </w:pPr>
      <w:bookmarkStart w:id="3" w:name="_Toc193364061"/>
      <w:r w:rsidRPr="00157F5B">
        <w:rPr>
          <w:rFonts w:ascii="Palatino Linotype" w:hAnsi="Palatino Linotype" w:cstheme="minorBidi"/>
        </w:rPr>
        <w:t>O</w:t>
      </w:r>
      <w:r w:rsidR="007A38E5" w:rsidRPr="00157F5B">
        <w:rPr>
          <w:rFonts w:ascii="Palatino Linotype" w:hAnsi="Palatino Linotype" w:cstheme="minorBidi"/>
        </w:rPr>
        <w:t>biettivi Contrattuali</w:t>
      </w:r>
      <w:bookmarkEnd w:id="3"/>
    </w:p>
    <w:p w14:paraId="2DA3A767" w14:textId="77777777" w:rsidR="00B8005C" w:rsidRPr="00157F5B" w:rsidRDefault="00B8005C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D0CC720" w14:textId="069C1A25" w:rsidR="00CA0DB0" w:rsidRPr="00157F5B" w:rsidRDefault="00934551" w:rsidP="002803C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Il contratto in essere è finalizzato a</w:t>
      </w:r>
      <w:r w:rsidR="00CA0DB0" w:rsidRPr="00157F5B">
        <w:rPr>
          <w:rFonts w:ascii="Palatino Linotype" w:hAnsi="Palatino Linotype" w:cstheme="minorHAnsi"/>
          <w:sz w:val="24"/>
          <w:szCs w:val="24"/>
        </w:rPr>
        <w:t>:</w:t>
      </w:r>
    </w:p>
    <w:p w14:paraId="1C5511E4" w14:textId="77777777" w:rsidR="00B8005C" w:rsidRPr="00157F5B" w:rsidRDefault="00B8005C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FAA919C" w14:textId="5C620DE1" w:rsidR="00343E1E" w:rsidRPr="00157F5B" w:rsidRDefault="007F5868" w:rsidP="00CA0DB0">
      <w:pPr>
        <w:pStyle w:val="Paragrafoelenco"/>
        <w:numPr>
          <w:ilvl w:val="0"/>
          <w:numId w:val="33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acquisire licenze di prodotti</w:t>
      </w:r>
      <w:r w:rsidR="00AB5CD7" w:rsidRPr="00157F5B">
        <w:rPr>
          <w:rFonts w:ascii="Palatino Linotype" w:hAnsi="Palatino Linotype" w:cstheme="minorHAnsi"/>
          <w:sz w:val="24"/>
          <w:szCs w:val="24"/>
        </w:rPr>
        <w:t xml:space="preserve"> software</w:t>
      </w:r>
      <w:r w:rsidR="00CA0DB0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Pr="00157F5B">
        <w:rPr>
          <w:rFonts w:ascii="Palatino Linotype" w:hAnsi="Palatino Linotype" w:cstheme="minorHAnsi"/>
          <w:sz w:val="24"/>
          <w:szCs w:val="24"/>
        </w:rPr>
        <w:t>Trellix</w:t>
      </w:r>
      <w:r w:rsidR="00CA0DB0" w:rsidRPr="00157F5B">
        <w:rPr>
          <w:rFonts w:ascii="Palatino Linotype" w:hAnsi="Palatino Linotype" w:cstheme="minorHAnsi"/>
          <w:sz w:val="24"/>
          <w:szCs w:val="24"/>
        </w:rPr>
        <w:t>,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CA0DB0" w:rsidRPr="00157F5B">
        <w:rPr>
          <w:rFonts w:ascii="Palatino Linotype" w:hAnsi="Palatino Linotype" w:cstheme="minorHAnsi"/>
          <w:sz w:val="24"/>
          <w:szCs w:val="24"/>
        </w:rPr>
        <w:t xml:space="preserve">con 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relativi </w:t>
      </w:r>
      <w:r w:rsidR="00BD0E92" w:rsidRPr="00157F5B">
        <w:rPr>
          <w:rFonts w:ascii="Palatino Linotype" w:hAnsi="Palatino Linotype" w:cstheme="minorHAnsi"/>
          <w:sz w:val="24"/>
          <w:szCs w:val="24"/>
        </w:rPr>
        <w:t>S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ervizi di </w:t>
      </w:r>
      <w:r w:rsidR="00BD0E92" w:rsidRPr="00157F5B">
        <w:rPr>
          <w:rFonts w:ascii="Palatino Linotype" w:hAnsi="Palatino Linotype" w:cstheme="minorHAnsi"/>
          <w:sz w:val="24"/>
          <w:szCs w:val="24"/>
        </w:rPr>
        <w:t>S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upporto </w:t>
      </w:r>
      <w:r w:rsidR="00BD0E92" w:rsidRPr="00157F5B">
        <w:rPr>
          <w:rFonts w:ascii="Palatino Linotype" w:hAnsi="Palatino Linotype" w:cstheme="minorHAnsi"/>
          <w:sz w:val="24"/>
          <w:szCs w:val="24"/>
        </w:rPr>
        <w:t>s</w:t>
      </w:r>
      <w:r w:rsidRPr="00157F5B">
        <w:rPr>
          <w:rFonts w:ascii="Palatino Linotype" w:hAnsi="Palatino Linotype" w:cstheme="minorHAnsi"/>
          <w:sz w:val="24"/>
          <w:szCs w:val="24"/>
        </w:rPr>
        <w:t>pecialistico e manutenzion</w:t>
      </w:r>
      <w:r w:rsidR="00934551" w:rsidRPr="00157F5B">
        <w:rPr>
          <w:rFonts w:ascii="Palatino Linotype" w:hAnsi="Palatino Linotype" w:cstheme="minorHAnsi"/>
          <w:sz w:val="24"/>
          <w:szCs w:val="24"/>
        </w:rPr>
        <w:t>e</w:t>
      </w:r>
      <w:r w:rsidR="00CA0DB0" w:rsidRPr="00157F5B">
        <w:rPr>
          <w:rFonts w:ascii="Palatino Linotype" w:hAnsi="Palatino Linotype" w:cstheme="minorHAnsi"/>
          <w:sz w:val="24"/>
          <w:szCs w:val="24"/>
        </w:rPr>
        <w:t xml:space="preserve">, </w:t>
      </w:r>
      <w:r w:rsidR="00AB5CD7" w:rsidRPr="00157F5B">
        <w:rPr>
          <w:rFonts w:ascii="Palatino Linotype" w:hAnsi="Palatino Linotype" w:cstheme="minorHAnsi"/>
          <w:sz w:val="24"/>
          <w:szCs w:val="24"/>
        </w:rPr>
        <w:t>per la</w:t>
      </w:r>
      <w:r w:rsidR="00CA0DB0" w:rsidRPr="00157F5B">
        <w:rPr>
          <w:rFonts w:ascii="Palatino Linotype" w:hAnsi="Palatino Linotype" w:cstheme="minorHAnsi"/>
          <w:sz w:val="24"/>
          <w:szCs w:val="24"/>
        </w:rPr>
        <w:t xml:space="preserve"> protezione generale anti-malware degli endpoint, in continuità</w:t>
      </w:r>
      <w:r w:rsidR="00802AA8" w:rsidRPr="00157F5B">
        <w:rPr>
          <w:rFonts w:ascii="Palatino Linotype" w:hAnsi="Palatino Linotype" w:cstheme="minorHAnsi"/>
          <w:sz w:val="24"/>
          <w:szCs w:val="24"/>
        </w:rPr>
        <w:t xml:space="preserve"> (rinnovo licenze)</w:t>
      </w:r>
      <w:r w:rsidR="00CA0DB0" w:rsidRPr="00157F5B">
        <w:rPr>
          <w:rFonts w:ascii="Palatino Linotype" w:hAnsi="Palatino Linotype" w:cstheme="minorHAnsi"/>
          <w:sz w:val="24"/>
          <w:szCs w:val="24"/>
        </w:rPr>
        <w:t xml:space="preserve"> con il servizio di protezione già fornito dal medesimo fornitore;</w:t>
      </w:r>
    </w:p>
    <w:p w14:paraId="2F94D013" w14:textId="0829197A" w:rsidR="00CA0DB0" w:rsidRPr="00157F5B" w:rsidRDefault="00CA0DB0" w:rsidP="00CA0DB0">
      <w:pPr>
        <w:pStyle w:val="Paragrafoelenco"/>
        <w:numPr>
          <w:ilvl w:val="0"/>
          <w:numId w:val="33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acquisire apparati</w:t>
      </w:r>
      <w:r w:rsidR="00802AA8" w:rsidRPr="00157F5B">
        <w:rPr>
          <w:rFonts w:ascii="Palatino Linotype" w:hAnsi="Palatino Linotype" w:cstheme="minorHAnsi"/>
          <w:sz w:val="24"/>
          <w:szCs w:val="24"/>
        </w:rPr>
        <w:t xml:space="preserve"> denominati FortiNAC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e licenze Fortinet, con relativi Servizi di Supporto specialistico e manutenzione, ai fini del dispiegamento del servizio di Network Access Control</w:t>
      </w:r>
      <w:r w:rsidR="00B8005C" w:rsidRPr="00157F5B">
        <w:rPr>
          <w:rFonts w:ascii="Palatino Linotype" w:hAnsi="Palatino Linotype" w:cstheme="minorHAnsi"/>
          <w:sz w:val="24"/>
          <w:szCs w:val="24"/>
        </w:rPr>
        <w:t xml:space="preserve"> per la sicurezza perimetrale.</w:t>
      </w:r>
    </w:p>
    <w:p w14:paraId="16CF5A79" w14:textId="77777777" w:rsidR="00CA0DB0" w:rsidRPr="00157F5B" w:rsidRDefault="00CA0DB0" w:rsidP="00CA0DB0">
      <w:pPr>
        <w:pStyle w:val="Paragrafoelenco"/>
        <w:ind w:left="780" w:firstLine="0"/>
        <w:jc w:val="both"/>
        <w:rPr>
          <w:rFonts w:ascii="Palatino Linotype" w:hAnsi="Palatino Linotype" w:cstheme="minorHAnsi"/>
          <w:sz w:val="24"/>
          <w:szCs w:val="24"/>
        </w:rPr>
      </w:pPr>
    </w:p>
    <w:p w14:paraId="7F6856C3" w14:textId="5543E6B1" w:rsidR="00F82A74" w:rsidRPr="00157F5B" w:rsidRDefault="00F82A74" w:rsidP="002803C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Nel dettaglio, nella tabella che segue si riporta</w:t>
      </w:r>
      <w:r w:rsidR="00B8005C" w:rsidRPr="00157F5B">
        <w:rPr>
          <w:rFonts w:ascii="Palatino Linotype" w:hAnsi="Palatino Linotype" w:cstheme="minorHAnsi"/>
          <w:sz w:val="24"/>
          <w:szCs w:val="24"/>
        </w:rPr>
        <w:t xml:space="preserve"> l’elenco dei prodotti/Servizi acquistati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B8005C" w:rsidRPr="00157F5B">
        <w:rPr>
          <w:rFonts w:ascii="Palatino Linotype" w:hAnsi="Palatino Linotype" w:cstheme="minorHAnsi"/>
          <w:sz w:val="24"/>
          <w:szCs w:val="24"/>
        </w:rPr>
        <w:t>con la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fornitura</w:t>
      </w:r>
      <w:r w:rsidR="00B8005C" w:rsidRPr="00157F5B">
        <w:rPr>
          <w:rFonts w:ascii="Palatino Linotype" w:hAnsi="Palatino Linotype" w:cstheme="minorHAnsi"/>
          <w:sz w:val="24"/>
          <w:szCs w:val="24"/>
        </w:rPr>
        <w:t xml:space="preserve"> al fine del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raggiungimento de</w:t>
      </w:r>
      <w:r w:rsidR="00B8005C" w:rsidRPr="00157F5B">
        <w:rPr>
          <w:rFonts w:ascii="Palatino Linotype" w:hAnsi="Palatino Linotype" w:cstheme="minorHAnsi"/>
          <w:sz w:val="24"/>
          <w:szCs w:val="24"/>
        </w:rPr>
        <w:t>gli O</w:t>
      </w:r>
      <w:r w:rsidRPr="00157F5B">
        <w:rPr>
          <w:rFonts w:ascii="Palatino Linotype" w:hAnsi="Palatino Linotype" w:cstheme="minorHAnsi"/>
          <w:sz w:val="24"/>
          <w:szCs w:val="24"/>
        </w:rPr>
        <w:t>biettiv</w:t>
      </w:r>
      <w:r w:rsidR="00B8005C" w:rsidRPr="00157F5B">
        <w:rPr>
          <w:rFonts w:ascii="Palatino Linotype" w:hAnsi="Palatino Linotype" w:cstheme="minorHAnsi"/>
          <w:sz w:val="24"/>
          <w:szCs w:val="24"/>
        </w:rPr>
        <w:t>i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B8005C" w:rsidRPr="00157F5B">
        <w:rPr>
          <w:rFonts w:ascii="Palatino Linotype" w:hAnsi="Palatino Linotype" w:cstheme="minorHAnsi"/>
          <w:sz w:val="24"/>
          <w:szCs w:val="24"/>
        </w:rPr>
        <w:t xml:space="preserve">Contrattuali </w:t>
      </w:r>
      <w:r w:rsidRPr="00157F5B">
        <w:rPr>
          <w:rFonts w:ascii="Palatino Linotype" w:hAnsi="Palatino Linotype" w:cstheme="minorHAnsi"/>
          <w:sz w:val="24"/>
          <w:szCs w:val="24"/>
        </w:rPr>
        <w:t>sopra citat</w:t>
      </w:r>
      <w:r w:rsidR="00B8005C" w:rsidRPr="00157F5B">
        <w:rPr>
          <w:rFonts w:ascii="Palatino Linotype" w:hAnsi="Palatino Linotype" w:cstheme="minorHAnsi"/>
          <w:sz w:val="24"/>
          <w:szCs w:val="24"/>
        </w:rPr>
        <w:t xml:space="preserve">i (in 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evidenza lo </w:t>
      </w:r>
      <w:r w:rsidR="00B8005C" w:rsidRPr="00157F5B">
        <w:rPr>
          <w:rFonts w:ascii="Palatino Linotype" w:hAnsi="Palatino Linotype" w:cstheme="minorHAnsi"/>
          <w:sz w:val="24"/>
          <w:szCs w:val="24"/>
        </w:rPr>
        <w:t>S</w:t>
      </w:r>
      <w:r w:rsidRPr="00157F5B">
        <w:rPr>
          <w:rFonts w:ascii="Palatino Linotype" w:hAnsi="Palatino Linotype" w:cstheme="minorHAnsi"/>
          <w:sz w:val="24"/>
          <w:szCs w:val="24"/>
        </w:rPr>
        <w:t>tato di avvio</w:t>
      </w:r>
      <w:r w:rsidR="00B8005C" w:rsidRPr="00157F5B">
        <w:rPr>
          <w:rFonts w:ascii="Palatino Linotype" w:hAnsi="Palatino Linotype" w:cstheme="minorHAnsi"/>
          <w:sz w:val="24"/>
          <w:szCs w:val="24"/>
        </w:rPr>
        <w:t>/esecuzione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di ogni singolo </w:t>
      </w:r>
      <w:r w:rsidR="00B8005C" w:rsidRPr="00157F5B">
        <w:rPr>
          <w:rFonts w:ascii="Palatino Linotype" w:hAnsi="Palatino Linotype" w:cstheme="minorHAnsi"/>
          <w:sz w:val="24"/>
          <w:szCs w:val="24"/>
        </w:rPr>
        <w:t>S</w:t>
      </w:r>
      <w:r w:rsidRPr="00157F5B">
        <w:rPr>
          <w:rFonts w:ascii="Palatino Linotype" w:hAnsi="Palatino Linotype" w:cstheme="minorHAnsi"/>
          <w:sz w:val="24"/>
          <w:szCs w:val="24"/>
        </w:rPr>
        <w:t>ervizio e l’incidenza economica dello stesso sull’intero importo contrattuale</w:t>
      </w:r>
      <w:r w:rsidR="00B8005C" w:rsidRPr="00157F5B">
        <w:rPr>
          <w:rFonts w:ascii="Palatino Linotype" w:hAnsi="Palatino Linotype" w:cstheme="minorHAnsi"/>
          <w:sz w:val="24"/>
          <w:szCs w:val="24"/>
        </w:rPr>
        <w:t>):</w:t>
      </w:r>
    </w:p>
    <w:p w14:paraId="03DC6490" w14:textId="77777777" w:rsidR="0081666C" w:rsidRPr="00157F5B" w:rsidRDefault="0081666C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12"/>
        <w:tblW w:w="10669" w:type="dxa"/>
        <w:tblLook w:val="04A0" w:firstRow="1" w:lastRow="0" w:firstColumn="1" w:lastColumn="0" w:noHBand="0" w:noVBand="1"/>
      </w:tblPr>
      <w:tblGrid>
        <w:gridCol w:w="3539"/>
        <w:gridCol w:w="2552"/>
        <w:gridCol w:w="1984"/>
        <w:gridCol w:w="1574"/>
        <w:gridCol w:w="1020"/>
      </w:tblGrid>
      <w:tr w:rsidR="00EB70E2" w:rsidRPr="00157F5B" w14:paraId="2A0D0679" w14:textId="77777777" w:rsidTr="00EC03B8">
        <w:tc>
          <w:tcPr>
            <w:tcW w:w="3539" w:type="dxa"/>
            <w:shd w:val="clear" w:color="auto" w:fill="D9E2F3" w:themeFill="accent1" w:themeFillTint="33"/>
            <w:vAlign w:val="center"/>
          </w:tcPr>
          <w:p w14:paraId="764C6659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bookmarkStart w:id="4" w:name="_Toc126080521"/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</w:tcPr>
          <w:p w14:paraId="6BFF4BA8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3C065874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14:paraId="5A7C2DAF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574" w:type="dxa"/>
            <w:shd w:val="clear" w:color="auto" w:fill="D9E2F3" w:themeFill="accent1" w:themeFillTint="33"/>
            <w:vAlign w:val="center"/>
          </w:tcPr>
          <w:p w14:paraId="68F180B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 (%)</w:t>
            </w:r>
          </w:p>
        </w:tc>
        <w:tc>
          <w:tcPr>
            <w:tcW w:w="1020" w:type="dxa"/>
            <w:shd w:val="clear" w:color="auto" w:fill="D9E2F3" w:themeFill="accent1" w:themeFillTint="33"/>
            <w:vAlign w:val="center"/>
          </w:tcPr>
          <w:p w14:paraId="13E3ED23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="00EB70E2" w:rsidRPr="00157F5B" w14:paraId="728AA64C" w14:textId="77777777" w:rsidTr="00EC03B8">
        <w:trPr>
          <w:trHeight w:val="1589"/>
        </w:trPr>
        <w:tc>
          <w:tcPr>
            <w:tcW w:w="3539" w:type="dxa"/>
            <w:vAlign w:val="center"/>
          </w:tcPr>
          <w:p w14:paraId="50BE109F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Network Access Control</w:t>
            </w:r>
          </w:p>
        </w:tc>
        <w:tc>
          <w:tcPr>
            <w:tcW w:w="2552" w:type="dxa"/>
            <w:vAlign w:val="center"/>
          </w:tcPr>
          <w:p w14:paraId="2690743D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apparati Fortinet – Fascia 6</w:t>
            </w:r>
          </w:p>
        </w:tc>
        <w:tc>
          <w:tcPr>
            <w:tcW w:w="1984" w:type="dxa"/>
            <w:vAlign w:val="center"/>
          </w:tcPr>
          <w:p w14:paraId="0EC7FEC9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2.716.569,90</w:t>
            </w:r>
          </w:p>
        </w:tc>
        <w:tc>
          <w:tcPr>
            <w:tcW w:w="1574" w:type="dxa"/>
            <w:vAlign w:val="center"/>
          </w:tcPr>
          <w:p w14:paraId="29862875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39,4%</w:t>
            </w:r>
          </w:p>
        </w:tc>
        <w:tc>
          <w:tcPr>
            <w:tcW w:w="1020" w:type="dxa"/>
            <w:vAlign w:val="center"/>
          </w:tcPr>
          <w:p w14:paraId="1ACAD644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61213E8C" w14:textId="77777777" w:rsidTr="00EC03B8">
        <w:trPr>
          <w:trHeight w:val="1589"/>
        </w:trPr>
        <w:tc>
          <w:tcPr>
            <w:tcW w:w="3539" w:type="dxa"/>
            <w:vAlign w:val="center"/>
          </w:tcPr>
          <w:p w14:paraId="4C1AA945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Network Access Control</w:t>
            </w:r>
          </w:p>
        </w:tc>
        <w:tc>
          <w:tcPr>
            <w:tcW w:w="2552" w:type="dxa"/>
            <w:vAlign w:val="center"/>
          </w:tcPr>
          <w:p w14:paraId="35DC990E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apparati Fortinet-Fascia 6-HP</w:t>
            </w:r>
          </w:p>
        </w:tc>
        <w:tc>
          <w:tcPr>
            <w:tcW w:w="1984" w:type="dxa"/>
            <w:vAlign w:val="center"/>
          </w:tcPr>
          <w:p w14:paraId="6AE87185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217.325,60 €</w:t>
            </w:r>
          </w:p>
        </w:tc>
        <w:tc>
          <w:tcPr>
            <w:tcW w:w="1574" w:type="dxa"/>
            <w:vAlign w:val="center"/>
          </w:tcPr>
          <w:p w14:paraId="7257E76F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4,7%</w:t>
            </w:r>
          </w:p>
        </w:tc>
        <w:tc>
          <w:tcPr>
            <w:tcW w:w="1020" w:type="dxa"/>
            <w:vAlign w:val="center"/>
          </w:tcPr>
          <w:p w14:paraId="315691B9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64B9067A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5369609E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Endpoint Protection, Detection &amp; Response Platform</w:t>
            </w:r>
          </w:p>
        </w:tc>
        <w:tc>
          <w:tcPr>
            <w:tcW w:w="2552" w:type="dxa"/>
            <w:vAlign w:val="center"/>
          </w:tcPr>
          <w:p w14:paraId="0CAC6C7C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licenze Trellix</w:t>
            </w:r>
          </w:p>
        </w:tc>
        <w:tc>
          <w:tcPr>
            <w:tcW w:w="1984" w:type="dxa"/>
            <w:vAlign w:val="center"/>
          </w:tcPr>
          <w:p w14:paraId="4DCA97C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1.511.900,00 €</w:t>
            </w:r>
          </w:p>
        </w:tc>
        <w:tc>
          <w:tcPr>
            <w:tcW w:w="1574" w:type="dxa"/>
            <w:vAlign w:val="center"/>
          </w:tcPr>
          <w:p w14:paraId="702D991D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21,9%</w:t>
            </w:r>
          </w:p>
        </w:tc>
        <w:tc>
          <w:tcPr>
            <w:tcW w:w="1020" w:type="dxa"/>
            <w:vAlign w:val="center"/>
          </w:tcPr>
          <w:p w14:paraId="2057D5FD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Chiuso</w:t>
            </w:r>
          </w:p>
        </w:tc>
      </w:tr>
      <w:tr w:rsidR="00EB70E2" w:rsidRPr="00157F5B" w14:paraId="4AC46098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293A5FAC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Specialistico per la componente NAC</w:t>
            </w:r>
          </w:p>
        </w:tc>
        <w:tc>
          <w:tcPr>
            <w:tcW w:w="2552" w:type="dxa"/>
            <w:vAlign w:val="center"/>
          </w:tcPr>
          <w:p w14:paraId="3F750BCC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Junior Security Analist – fascia straordinaria</w:t>
            </w:r>
          </w:p>
        </w:tc>
        <w:tc>
          <w:tcPr>
            <w:tcW w:w="1984" w:type="dxa"/>
            <w:vAlign w:val="center"/>
          </w:tcPr>
          <w:p w14:paraId="08526170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287.774,28 €</w:t>
            </w:r>
          </w:p>
        </w:tc>
        <w:tc>
          <w:tcPr>
            <w:tcW w:w="1574" w:type="dxa"/>
            <w:vAlign w:val="center"/>
          </w:tcPr>
          <w:p w14:paraId="5B70AE5F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4,2%</w:t>
            </w:r>
          </w:p>
        </w:tc>
        <w:tc>
          <w:tcPr>
            <w:tcW w:w="1020" w:type="dxa"/>
            <w:vAlign w:val="center"/>
          </w:tcPr>
          <w:p w14:paraId="0CDE648E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4D8364F3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6ABA8C38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Specialistico per la componente NAC</w:t>
            </w:r>
          </w:p>
        </w:tc>
        <w:tc>
          <w:tcPr>
            <w:tcW w:w="2552" w:type="dxa"/>
            <w:vAlign w:val="center"/>
          </w:tcPr>
          <w:p w14:paraId="11A23ADB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Security Principal – fascia straordinaria</w:t>
            </w:r>
          </w:p>
        </w:tc>
        <w:tc>
          <w:tcPr>
            <w:tcW w:w="1984" w:type="dxa"/>
            <w:vAlign w:val="center"/>
          </w:tcPr>
          <w:p w14:paraId="17B8965D" w14:textId="0ADDD62D" w:rsidR="00EB70E2" w:rsidRPr="00157F5B" w:rsidRDefault="00875F37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425.280,00</w:t>
            </w:r>
            <w:r w:rsidR="00EB70E2"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€</w:t>
            </w:r>
          </w:p>
        </w:tc>
        <w:tc>
          <w:tcPr>
            <w:tcW w:w="1574" w:type="dxa"/>
            <w:vAlign w:val="center"/>
          </w:tcPr>
          <w:p w14:paraId="1F6D271C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10,7%</w:t>
            </w:r>
          </w:p>
        </w:tc>
        <w:tc>
          <w:tcPr>
            <w:tcW w:w="1020" w:type="dxa"/>
            <w:vAlign w:val="center"/>
          </w:tcPr>
          <w:p w14:paraId="39820EED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5F563BCA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44C4A9B9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Specialistico per la componente NAC</w:t>
            </w:r>
          </w:p>
        </w:tc>
        <w:tc>
          <w:tcPr>
            <w:tcW w:w="2552" w:type="dxa"/>
            <w:vAlign w:val="center"/>
          </w:tcPr>
          <w:p w14:paraId="47B00A2E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Senior Security Analist -fascia straordinaria</w:t>
            </w:r>
          </w:p>
        </w:tc>
        <w:tc>
          <w:tcPr>
            <w:tcW w:w="1984" w:type="dxa"/>
            <w:vAlign w:val="center"/>
          </w:tcPr>
          <w:p w14:paraId="478356BC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542.108,40€</w:t>
            </w:r>
          </w:p>
        </w:tc>
        <w:tc>
          <w:tcPr>
            <w:tcW w:w="1574" w:type="dxa"/>
            <w:vAlign w:val="center"/>
          </w:tcPr>
          <w:p w14:paraId="14A343D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7,9%</w:t>
            </w:r>
          </w:p>
        </w:tc>
        <w:tc>
          <w:tcPr>
            <w:tcW w:w="1020" w:type="dxa"/>
            <w:vAlign w:val="center"/>
          </w:tcPr>
          <w:p w14:paraId="566E44E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127D42E6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0A40A77A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Specialistico per la componente NAC</w:t>
            </w:r>
          </w:p>
        </w:tc>
        <w:tc>
          <w:tcPr>
            <w:tcW w:w="2552" w:type="dxa"/>
            <w:vAlign w:val="center"/>
          </w:tcPr>
          <w:p w14:paraId="6D65A6CB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Senior Security Architec – fascia straordinaria</w:t>
            </w:r>
          </w:p>
        </w:tc>
        <w:tc>
          <w:tcPr>
            <w:tcW w:w="1984" w:type="dxa"/>
            <w:vAlign w:val="center"/>
          </w:tcPr>
          <w:p w14:paraId="6FBCB1C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285.341,40 €</w:t>
            </w:r>
          </w:p>
        </w:tc>
        <w:tc>
          <w:tcPr>
            <w:tcW w:w="1574" w:type="dxa"/>
            <w:vAlign w:val="center"/>
          </w:tcPr>
          <w:p w14:paraId="34FD1F32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4,1%</w:t>
            </w:r>
          </w:p>
        </w:tc>
        <w:tc>
          <w:tcPr>
            <w:tcW w:w="1020" w:type="dxa"/>
            <w:vAlign w:val="center"/>
          </w:tcPr>
          <w:p w14:paraId="6DA29D66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225E56EB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6A7C3A4F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Specialistico per la componente NAC</w:t>
            </w:r>
          </w:p>
        </w:tc>
        <w:tc>
          <w:tcPr>
            <w:tcW w:w="2552" w:type="dxa"/>
            <w:vAlign w:val="center"/>
          </w:tcPr>
          <w:p w14:paraId="3AD5D0DA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Senior Security Tester fascia-standard</w:t>
            </w:r>
          </w:p>
        </w:tc>
        <w:tc>
          <w:tcPr>
            <w:tcW w:w="1984" w:type="dxa"/>
            <w:vAlign w:val="center"/>
          </w:tcPr>
          <w:p w14:paraId="37BA011B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109.200,00 €</w:t>
            </w:r>
          </w:p>
        </w:tc>
        <w:tc>
          <w:tcPr>
            <w:tcW w:w="1574" w:type="dxa"/>
            <w:vAlign w:val="center"/>
          </w:tcPr>
          <w:p w14:paraId="75C92E5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1,6%</w:t>
            </w:r>
          </w:p>
        </w:tc>
        <w:tc>
          <w:tcPr>
            <w:tcW w:w="1020" w:type="dxa"/>
            <w:vAlign w:val="center"/>
          </w:tcPr>
          <w:p w14:paraId="4203AF06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484D3BC4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183931C4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Specialistico per la componente NAC</w:t>
            </w:r>
          </w:p>
        </w:tc>
        <w:tc>
          <w:tcPr>
            <w:tcW w:w="2552" w:type="dxa"/>
            <w:vAlign w:val="center"/>
          </w:tcPr>
          <w:p w14:paraId="6536EF1D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Security Principal – fascia standard</w:t>
            </w:r>
          </w:p>
        </w:tc>
        <w:tc>
          <w:tcPr>
            <w:tcW w:w="1984" w:type="dxa"/>
            <w:vAlign w:val="center"/>
          </w:tcPr>
          <w:p w14:paraId="07800D3F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158.100,00 €</w:t>
            </w:r>
          </w:p>
        </w:tc>
        <w:tc>
          <w:tcPr>
            <w:tcW w:w="1574" w:type="dxa"/>
            <w:vAlign w:val="center"/>
          </w:tcPr>
          <w:p w14:paraId="5688D7F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2,3%</w:t>
            </w:r>
          </w:p>
        </w:tc>
        <w:tc>
          <w:tcPr>
            <w:tcW w:w="1020" w:type="dxa"/>
            <w:vAlign w:val="center"/>
          </w:tcPr>
          <w:p w14:paraId="5AD213C4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EB70E2" w:rsidRPr="00157F5B" w14:paraId="3318D278" w14:textId="77777777" w:rsidTr="00EC03B8">
        <w:trPr>
          <w:trHeight w:val="890"/>
        </w:trPr>
        <w:tc>
          <w:tcPr>
            <w:tcW w:w="3539" w:type="dxa"/>
            <w:vAlign w:val="center"/>
          </w:tcPr>
          <w:p w14:paraId="55FAA7D1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Supporto Specialistico per la componente NAC</w:t>
            </w:r>
          </w:p>
        </w:tc>
        <w:tc>
          <w:tcPr>
            <w:tcW w:w="2552" w:type="dxa"/>
            <w:vAlign w:val="center"/>
          </w:tcPr>
          <w:p w14:paraId="0C04E00F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Senior Security Tester fascia-straordinaria</w:t>
            </w:r>
          </w:p>
        </w:tc>
        <w:tc>
          <w:tcPr>
            <w:tcW w:w="1984" w:type="dxa"/>
            <w:vAlign w:val="center"/>
          </w:tcPr>
          <w:p w14:paraId="32145ED7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326.289,60</w:t>
            </w:r>
          </w:p>
        </w:tc>
        <w:tc>
          <w:tcPr>
            <w:tcW w:w="1574" w:type="dxa"/>
            <w:vAlign w:val="center"/>
          </w:tcPr>
          <w:p w14:paraId="52872B35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3,2%</w:t>
            </w:r>
          </w:p>
        </w:tc>
        <w:tc>
          <w:tcPr>
            <w:tcW w:w="1020" w:type="dxa"/>
            <w:vAlign w:val="center"/>
          </w:tcPr>
          <w:p w14:paraId="26916693" w14:textId="77777777" w:rsidR="00EB70E2" w:rsidRPr="00157F5B" w:rsidRDefault="00EB70E2" w:rsidP="00EC03B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157F5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</w:tbl>
    <w:p w14:paraId="6621DDAB" w14:textId="3BFECAAA" w:rsidR="0065175C" w:rsidRPr="00157F5B" w:rsidRDefault="0065175C" w:rsidP="003C328A">
      <w:pPr>
        <w:rPr>
          <w:rFonts w:ascii="Palatino Linotype" w:hAnsi="Palatino Linotype"/>
        </w:rPr>
      </w:pPr>
    </w:p>
    <w:p w14:paraId="658678C2" w14:textId="77777777" w:rsidR="00EB70E2" w:rsidRPr="00157F5B" w:rsidRDefault="00EB70E2" w:rsidP="003C328A">
      <w:pPr>
        <w:rPr>
          <w:rFonts w:ascii="Palatino Linotype" w:hAnsi="Palatino Linotype"/>
        </w:rPr>
      </w:pPr>
    </w:p>
    <w:p w14:paraId="3B817B51" w14:textId="77777777" w:rsidR="00EB70E2" w:rsidRPr="00157F5B" w:rsidRDefault="00EB70E2" w:rsidP="003C328A">
      <w:pPr>
        <w:rPr>
          <w:rFonts w:ascii="Palatino Linotype" w:hAnsi="Palatino Linotype"/>
        </w:rPr>
      </w:pPr>
    </w:p>
    <w:p w14:paraId="4FE7C262" w14:textId="5E9A5F06" w:rsidR="003C328A" w:rsidRPr="00157F5B" w:rsidRDefault="003C328A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2671D842" w14:textId="77777777" w:rsidR="00434558" w:rsidRPr="00157F5B" w:rsidRDefault="00434558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5AEC39E" w14:textId="77777777" w:rsidR="005236E1" w:rsidRPr="00157F5B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157F5B" w:rsidRDefault="0065354A" w:rsidP="214346F9">
      <w:pPr>
        <w:pStyle w:val="Titolo1"/>
        <w:numPr>
          <w:ilvl w:val="0"/>
          <w:numId w:val="1"/>
        </w:numPr>
        <w:rPr>
          <w:rFonts w:ascii="Palatino Linotype" w:hAnsi="Palatino Linotype" w:cstheme="minorBidi"/>
        </w:rPr>
      </w:pPr>
      <w:bookmarkStart w:id="5" w:name="_Toc193364062"/>
      <w:r w:rsidRPr="00157F5B">
        <w:rPr>
          <w:rFonts w:ascii="Palatino Linotype" w:hAnsi="Palatino Linotype" w:cstheme="minorBidi"/>
        </w:rPr>
        <w:t>E</w:t>
      </w:r>
      <w:r w:rsidR="007A38E5" w:rsidRPr="00157F5B">
        <w:rPr>
          <w:rFonts w:ascii="Palatino Linotype" w:hAnsi="Palatino Linotype" w:cstheme="minorBidi"/>
        </w:rPr>
        <w:t>secuzione del contratto</w:t>
      </w:r>
      <w:bookmarkEnd w:id="5"/>
      <w:r w:rsidR="007A38E5" w:rsidRPr="00157F5B">
        <w:rPr>
          <w:rFonts w:ascii="Palatino Linotype" w:hAnsi="Palatino Linotype" w:cstheme="minorBidi"/>
        </w:rPr>
        <w:t xml:space="preserve"> </w:t>
      </w:r>
      <w:bookmarkEnd w:id="4"/>
    </w:p>
    <w:p w14:paraId="702DD75F" w14:textId="77777777" w:rsidR="003B481F" w:rsidRPr="00157F5B" w:rsidRDefault="003B481F" w:rsidP="003B481F">
      <w:pPr>
        <w:rPr>
          <w:rFonts w:ascii="Palatino Linotype" w:hAnsi="Palatino Linotype"/>
        </w:rPr>
      </w:pPr>
    </w:p>
    <w:p w14:paraId="5F343E24" w14:textId="202A8380" w:rsidR="00D93D8B" w:rsidRPr="00157F5B" w:rsidRDefault="0041236B" w:rsidP="214346F9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6" w:name="_Toc193364063"/>
      <w:bookmarkStart w:id="7" w:name="_Toc126080522"/>
      <w:r w:rsidRPr="00157F5B">
        <w:rPr>
          <w:rFonts w:ascii="Palatino Linotype" w:eastAsia="Times New Roman" w:hAnsi="Palatino Linotype" w:cstheme="minorBidi"/>
          <w:b/>
          <w:bCs/>
          <w:color w:val="auto"/>
        </w:rPr>
        <w:t xml:space="preserve">Stato di avanzamento </w:t>
      </w:r>
      <w:r w:rsidR="007A38E5" w:rsidRPr="00157F5B">
        <w:rPr>
          <w:rFonts w:ascii="Palatino Linotype" w:eastAsia="Times New Roman" w:hAnsi="Palatino Linotype" w:cstheme="minorBidi"/>
          <w:b/>
          <w:bCs/>
          <w:color w:val="auto"/>
        </w:rPr>
        <w:t xml:space="preserve">- </w:t>
      </w:r>
      <w:r w:rsidRPr="00157F5B">
        <w:rPr>
          <w:rFonts w:ascii="Palatino Linotype" w:eastAsia="Times New Roman" w:hAnsi="Palatino Linotype" w:cstheme="minorBidi"/>
          <w:b/>
          <w:bCs/>
          <w:color w:val="auto"/>
        </w:rPr>
        <w:t>SAL e SAC</w:t>
      </w:r>
      <w:bookmarkEnd w:id="6"/>
    </w:p>
    <w:p w14:paraId="5075DC81" w14:textId="77777777" w:rsidR="002516A8" w:rsidRPr="00157F5B" w:rsidRDefault="004B60FA" w:rsidP="00420BFC">
      <w:pPr>
        <w:pStyle w:val="Paragrafoelenco"/>
        <w:numPr>
          <w:ilvl w:val="0"/>
          <w:numId w:val="32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 xml:space="preserve">Per quanto riguarda la componente Endpoint Protection, Detection &amp; Response, </w:t>
      </w:r>
      <w:r w:rsidRPr="00157F5B">
        <w:rPr>
          <w:rFonts w:ascii="Palatino Linotype" w:hAnsi="Palatino Linotype" w:cstheme="minorHAnsi"/>
          <w:sz w:val="24"/>
          <w:szCs w:val="24"/>
        </w:rPr>
        <w:lastRenderedPageBreak/>
        <w:t xml:space="preserve">la piattaforma è </w:t>
      </w:r>
      <w:r w:rsidR="009441E4" w:rsidRPr="00157F5B">
        <w:rPr>
          <w:rFonts w:ascii="Palatino Linotype" w:hAnsi="Palatino Linotype" w:cstheme="minorHAnsi"/>
          <w:sz w:val="24"/>
          <w:szCs w:val="24"/>
        </w:rPr>
        <w:t>stata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operativa </w:t>
      </w:r>
      <w:r w:rsidR="009441E4" w:rsidRPr="00157F5B">
        <w:rPr>
          <w:rFonts w:ascii="Palatino Linotype" w:hAnsi="Palatino Linotype" w:cstheme="minorHAnsi"/>
          <w:sz w:val="24"/>
          <w:szCs w:val="24"/>
        </w:rPr>
        <w:t>fino al 28 Giugno 2024</w:t>
      </w:r>
      <w:r w:rsidR="00DB620F" w:rsidRPr="00157F5B">
        <w:rPr>
          <w:rFonts w:ascii="Palatino Linotype" w:hAnsi="Palatino Linotype" w:cstheme="minorHAnsi"/>
          <w:sz w:val="24"/>
          <w:szCs w:val="24"/>
        </w:rPr>
        <w:t>.</w:t>
      </w:r>
    </w:p>
    <w:p w14:paraId="6835BE5A" w14:textId="1809F12C" w:rsidR="004B60FA" w:rsidRPr="00157F5B" w:rsidRDefault="00DB620F" w:rsidP="002516A8">
      <w:pPr>
        <w:pStyle w:val="Paragrafoelenco"/>
        <w:ind w:left="720" w:firstLine="0"/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 xml:space="preserve"> </w:t>
      </w:r>
    </w:p>
    <w:p w14:paraId="1A0394B4" w14:textId="3AAA69FE" w:rsidR="004B60FA" w:rsidRPr="00157F5B" w:rsidRDefault="004B60FA" w:rsidP="00420BFC">
      <w:pPr>
        <w:pStyle w:val="Paragrafoelenco"/>
        <w:numPr>
          <w:ilvl w:val="0"/>
          <w:numId w:val="32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 xml:space="preserve">Per quanto riguarda la componente </w:t>
      </w:r>
      <w:r w:rsidRPr="00157F5B">
        <w:rPr>
          <w:rFonts w:ascii="Palatino Linotype" w:hAnsi="Palatino Linotype" w:cstheme="minorHAnsi"/>
          <w:b/>
          <w:bCs/>
          <w:sz w:val="24"/>
          <w:szCs w:val="24"/>
        </w:rPr>
        <w:t>NAC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, i documenti di SAL approvati evidenziano </w:t>
      </w:r>
      <w:r w:rsidR="0094637F" w:rsidRPr="00157F5B">
        <w:rPr>
          <w:rFonts w:ascii="Palatino Linotype" w:hAnsi="Palatino Linotype" w:cstheme="minorHAnsi"/>
          <w:sz w:val="24"/>
          <w:szCs w:val="24"/>
        </w:rPr>
        <w:t>i</w:t>
      </w:r>
      <w:r w:rsidR="00AD0607" w:rsidRPr="00157F5B">
        <w:rPr>
          <w:rFonts w:ascii="Palatino Linotype" w:hAnsi="Palatino Linotype" w:cstheme="minorHAnsi"/>
          <w:sz w:val="24"/>
          <w:szCs w:val="24"/>
        </w:rPr>
        <w:t>l dispiegamento della soluzione</w:t>
      </w:r>
      <w:r w:rsidR="0094637F" w:rsidRPr="00157F5B">
        <w:rPr>
          <w:rFonts w:ascii="Palatino Linotype" w:hAnsi="Palatino Linotype" w:cstheme="minorHAnsi"/>
          <w:sz w:val="24"/>
          <w:szCs w:val="24"/>
        </w:rPr>
        <w:t>,</w:t>
      </w:r>
      <w:r w:rsidR="00AD0607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802AA8" w:rsidRPr="00157F5B">
        <w:rPr>
          <w:rFonts w:ascii="Palatino Linotype" w:hAnsi="Palatino Linotype" w:cstheme="minorHAnsi"/>
          <w:sz w:val="24"/>
          <w:szCs w:val="24"/>
        </w:rPr>
        <w:t xml:space="preserve">in base </w:t>
      </w:r>
      <w:r w:rsidR="002516A8" w:rsidRPr="00157F5B">
        <w:rPr>
          <w:rFonts w:ascii="Palatino Linotype" w:hAnsi="Palatino Linotype" w:cstheme="minorHAnsi"/>
          <w:sz w:val="24"/>
          <w:szCs w:val="24"/>
        </w:rPr>
        <w:t xml:space="preserve">a quelle che erano </w:t>
      </w:r>
      <w:r w:rsidR="00347D7F" w:rsidRPr="00157F5B">
        <w:rPr>
          <w:rFonts w:ascii="Palatino Linotype" w:hAnsi="Palatino Linotype" w:cstheme="minorHAnsi"/>
          <w:sz w:val="24"/>
          <w:szCs w:val="24"/>
        </w:rPr>
        <w:t xml:space="preserve">milestone </w:t>
      </w:r>
      <w:r w:rsidR="00802AA8" w:rsidRPr="00157F5B">
        <w:rPr>
          <w:rFonts w:ascii="Palatino Linotype" w:hAnsi="Palatino Linotype" w:cstheme="minorHAnsi"/>
          <w:sz w:val="24"/>
          <w:szCs w:val="24"/>
        </w:rPr>
        <w:t>di progetto</w:t>
      </w:r>
      <w:r w:rsidR="009117D0" w:rsidRPr="00157F5B">
        <w:rPr>
          <w:rFonts w:ascii="Palatino Linotype" w:hAnsi="Palatino Linotype" w:cstheme="minorHAnsi"/>
          <w:sz w:val="24"/>
          <w:szCs w:val="24"/>
        </w:rPr>
        <w:t xml:space="preserve"> (dispiegamento apparati sulle 4 sale server e “onboarding” delle Lan</w:t>
      </w:r>
      <w:r w:rsidR="00336777" w:rsidRPr="00157F5B">
        <w:rPr>
          <w:rFonts w:ascii="Palatino Linotype" w:hAnsi="Palatino Linotype" w:cstheme="minorHAnsi"/>
          <w:sz w:val="24"/>
          <w:szCs w:val="24"/>
        </w:rPr>
        <w:t xml:space="preserve"> della rete Giustizia</w:t>
      </w:r>
      <w:r w:rsidR="009117D0" w:rsidRPr="00157F5B">
        <w:rPr>
          <w:rFonts w:ascii="Palatino Linotype" w:hAnsi="Palatino Linotype" w:cstheme="minorHAnsi"/>
          <w:sz w:val="24"/>
          <w:szCs w:val="24"/>
        </w:rPr>
        <w:t>)</w:t>
      </w:r>
      <w:r w:rsidR="008D0B48" w:rsidRPr="00157F5B">
        <w:rPr>
          <w:rFonts w:ascii="Palatino Linotype" w:hAnsi="Palatino Linotype" w:cstheme="minorHAnsi"/>
          <w:sz w:val="24"/>
          <w:szCs w:val="24"/>
        </w:rPr>
        <w:t>.</w:t>
      </w:r>
    </w:p>
    <w:p w14:paraId="1D821DA0" w14:textId="77777777" w:rsidR="00D37C25" w:rsidRPr="00157F5B" w:rsidRDefault="00D37C25" w:rsidP="00300F4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82EB660" w14:textId="7AB39165" w:rsidR="0043218B" w:rsidRPr="00157F5B" w:rsidRDefault="00D37C25" w:rsidP="00300F46">
      <w:p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 xml:space="preserve">Al </w:t>
      </w:r>
      <w:r w:rsidR="001C6665" w:rsidRPr="00157F5B">
        <w:rPr>
          <w:rFonts w:ascii="Palatino Linotype" w:hAnsi="Palatino Linotype" w:cstheme="minorHAnsi"/>
          <w:sz w:val="24"/>
          <w:szCs w:val="24"/>
        </w:rPr>
        <w:t>10</w:t>
      </w:r>
      <w:r w:rsidRPr="00157F5B">
        <w:rPr>
          <w:rFonts w:ascii="Palatino Linotype" w:hAnsi="Palatino Linotype" w:cstheme="minorHAnsi"/>
          <w:sz w:val="24"/>
          <w:szCs w:val="24"/>
        </w:rPr>
        <w:t>/</w:t>
      </w:r>
      <w:r w:rsidR="00C402F1">
        <w:rPr>
          <w:rFonts w:ascii="Palatino Linotype" w:hAnsi="Palatino Linotype" w:cstheme="minorHAnsi"/>
          <w:sz w:val="24"/>
          <w:szCs w:val="24"/>
        </w:rPr>
        <w:t>09</w:t>
      </w:r>
      <w:r w:rsidRPr="00157F5B">
        <w:rPr>
          <w:rFonts w:ascii="Palatino Linotype" w:hAnsi="Palatino Linotype" w:cstheme="minorHAnsi"/>
          <w:sz w:val="24"/>
          <w:szCs w:val="24"/>
        </w:rPr>
        <w:t>/202</w:t>
      </w:r>
      <w:r w:rsidR="002516A8" w:rsidRPr="00157F5B">
        <w:rPr>
          <w:rFonts w:ascii="Palatino Linotype" w:hAnsi="Palatino Linotype" w:cstheme="minorHAnsi"/>
          <w:sz w:val="24"/>
          <w:szCs w:val="24"/>
        </w:rPr>
        <w:t xml:space="preserve">5 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risultano liquidati </w:t>
      </w:r>
      <w:r w:rsidR="001C6665" w:rsidRPr="005E19BB">
        <w:rPr>
          <w:rFonts w:ascii="Palatino Linotype" w:hAnsi="Palatino Linotype" w:cstheme="minorHAnsi"/>
          <w:sz w:val="24"/>
          <w:szCs w:val="24"/>
        </w:rPr>
        <w:t xml:space="preserve">5.651.246,66 € </w:t>
      </w:r>
      <w:r w:rsidR="001C6665" w:rsidRPr="00157F5B">
        <w:rPr>
          <w:rFonts w:ascii="Palatino Linotype" w:hAnsi="Palatino Linotype" w:cstheme="minorHAnsi"/>
          <w:sz w:val="24"/>
          <w:szCs w:val="24"/>
        </w:rPr>
        <w:t>(Iva inclusa)</w:t>
      </w:r>
    </w:p>
    <w:p w14:paraId="2CC0D569" w14:textId="77777777" w:rsidR="001C6665" w:rsidRPr="00157F5B" w:rsidRDefault="001C6665" w:rsidP="00300F4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676D1378" w14:textId="432F3784" w:rsidR="00F12956" w:rsidRPr="00157F5B" w:rsidRDefault="0062766A" w:rsidP="214346F9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8" w:name="_Toc193364064"/>
      <w:r w:rsidRPr="00157F5B">
        <w:rPr>
          <w:rFonts w:ascii="Palatino Linotype" w:eastAsia="Times New Roman" w:hAnsi="Palatino Linotype" w:cstheme="minorBidi"/>
          <w:b/>
          <w:bCs/>
          <w:color w:val="auto"/>
        </w:rPr>
        <w:t>Indicatori di monitoraggio e livelli di servizio</w:t>
      </w:r>
      <w:bookmarkEnd w:id="8"/>
      <w:r w:rsidR="002947AB" w:rsidRPr="00157F5B">
        <w:rPr>
          <w:rFonts w:ascii="Palatino Linotype" w:eastAsia="Times New Roman" w:hAnsi="Palatino Linotype" w:cstheme="minorBidi"/>
          <w:b/>
          <w:bCs/>
          <w:color w:val="auto"/>
        </w:rPr>
        <w:t xml:space="preserve"> </w:t>
      </w:r>
      <w:bookmarkEnd w:id="7"/>
    </w:p>
    <w:p w14:paraId="6F83B4F5" w14:textId="77777777" w:rsidR="00FC085A" w:rsidRPr="00157F5B" w:rsidRDefault="00FC085A" w:rsidP="00232AEA">
      <w:pPr>
        <w:rPr>
          <w:rFonts w:ascii="Palatino Linotype" w:hAnsi="Palatino Linotype" w:cstheme="minorHAnsi"/>
        </w:rPr>
      </w:pPr>
    </w:p>
    <w:p w14:paraId="7CEB491C" w14:textId="389333CF" w:rsidR="008D01C3" w:rsidRPr="00157F5B" w:rsidRDefault="00232AEA" w:rsidP="00E00705">
      <w:p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L’attivi</w:t>
      </w:r>
      <w:r w:rsidR="00D24AD3" w:rsidRPr="00157F5B">
        <w:rPr>
          <w:rFonts w:ascii="Palatino Linotype" w:hAnsi="Palatino Linotype" w:cstheme="minorHAnsi"/>
          <w:sz w:val="24"/>
          <w:szCs w:val="24"/>
        </w:rPr>
        <w:t xml:space="preserve">tà di monitoraggio svolta durante l’esecuzione del contratto </w:t>
      </w:r>
      <w:r w:rsidR="00DB620F" w:rsidRPr="00157F5B">
        <w:rPr>
          <w:rFonts w:ascii="Palatino Linotype" w:hAnsi="Palatino Linotype" w:cstheme="minorHAnsi"/>
          <w:sz w:val="24"/>
          <w:szCs w:val="24"/>
        </w:rPr>
        <w:t xml:space="preserve">in questo periodo di riferimento </w:t>
      </w:r>
      <w:r w:rsidR="006A50D8" w:rsidRPr="00157F5B">
        <w:rPr>
          <w:rFonts w:ascii="Palatino Linotype" w:hAnsi="Palatino Linotype" w:cstheme="minorHAnsi"/>
          <w:sz w:val="24"/>
          <w:szCs w:val="24"/>
        </w:rPr>
        <w:t>(</w:t>
      </w:r>
      <w:r w:rsidR="001D1C82" w:rsidRPr="00157F5B">
        <w:rPr>
          <w:rFonts w:ascii="Palatino Linotype" w:hAnsi="Palatino Linotype" w:cstheme="minorHAnsi"/>
          <w:sz w:val="24"/>
          <w:szCs w:val="24"/>
        </w:rPr>
        <w:t xml:space="preserve">da </w:t>
      </w:r>
      <w:r w:rsidR="00C402F1">
        <w:rPr>
          <w:rFonts w:ascii="Palatino Linotype" w:hAnsi="Palatino Linotype" w:cstheme="minorHAnsi"/>
          <w:sz w:val="24"/>
          <w:szCs w:val="24"/>
        </w:rPr>
        <w:t>Aprile</w:t>
      </w:r>
      <w:r w:rsidR="00D24AD3" w:rsidRPr="00157F5B">
        <w:rPr>
          <w:rFonts w:ascii="Palatino Linotype" w:hAnsi="Palatino Linotype" w:cstheme="minorHAnsi"/>
          <w:sz w:val="24"/>
          <w:szCs w:val="24"/>
        </w:rPr>
        <w:t xml:space="preserve"> 202</w:t>
      </w:r>
      <w:r w:rsidR="00C402F1">
        <w:rPr>
          <w:rFonts w:ascii="Palatino Linotype" w:hAnsi="Palatino Linotype" w:cstheme="minorHAnsi"/>
          <w:sz w:val="24"/>
          <w:szCs w:val="24"/>
        </w:rPr>
        <w:t>5</w:t>
      </w:r>
      <w:r w:rsidR="00DB620F" w:rsidRPr="00157F5B">
        <w:rPr>
          <w:rFonts w:ascii="Palatino Linotype" w:hAnsi="Palatino Linotype" w:cstheme="minorHAnsi"/>
          <w:sz w:val="24"/>
          <w:szCs w:val="24"/>
        </w:rPr>
        <w:t xml:space="preserve"> e</w:t>
      </w:r>
      <w:r w:rsidR="001D1C82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C402F1">
        <w:rPr>
          <w:rFonts w:ascii="Palatino Linotype" w:hAnsi="Palatino Linotype" w:cstheme="minorHAnsi"/>
          <w:sz w:val="24"/>
          <w:szCs w:val="24"/>
        </w:rPr>
        <w:t>Settembre</w:t>
      </w:r>
      <w:r w:rsidR="00DB620F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A75944" w:rsidRPr="00157F5B">
        <w:rPr>
          <w:rFonts w:ascii="Palatino Linotype" w:hAnsi="Palatino Linotype" w:cstheme="minorHAnsi"/>
          <w:sz w:val="24"/>
          <w:szCs w:val="24"/>
        </w:rPr>
        <w:t>202</w:t>
      </w:r>
      <w:r w:rsidR="00155276" w:rsidRPr="00157F5B">
        <w:rPr>
          <w:rFonts w:ascii="Palatino Linotype" w:hAnsi="Palatino Linotype" w:cstheme="minorHAnsi"/>
          <w:sz w:val="24"/>
          <w:szCs w:val="24"/>
        </w:rPr>
        <w:t>5 compresi</w:t>
      </w:r>
      <w:r w:rsidR="006A50D8" w:rsidRPr="00157F5B">
        <w:rPr>
          <w:rFonts w:ascii="Palatino Linotype" w:hAnsi="Palatino Linotype" w:cstheme="minorHAnsi"/>
          <w:sz w:val="24"/>
          <w:szCs w:val="24"/>
        </w:rPr>
        <w:t>)</w:t>
      </w:r>
      <w:r w:rsidR="00FC085A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7E6280" w:rsidRPr="00157F5B">
        <w:rPr>
          <w:rFonts w:ascii="Palatino Linotype" w:hAnsi="Palatino Linotype" w:cstheme="minorHAnsi"/>
          <w:sz w:val="24"/>
          <w:szCs w:val="24"/>
        </w:rPr>
        <w:t>si è basata sul calcolo de</w:t>
      </w:r>
      <w:r w:rsidR="00587E63" w:rsidRPr="00157F5B">
        <w:rPr>
          <w:rFonts w:ascii="Palatino Linotype" w:hAnsi="Palatino Linotype" w:cstheme="minorHAnsi"/>
          <w:sz w:val="24"/>
          <w:szCs w:val="24"/>
        </w:rPr>
        <w:t>l</w:t>
      </w:r>
      <w:r w:rsidR="007E6280" w:rsidRPr="00157F5B">
        <w:rPr>
          <w:rFonts w:ascii="Palatino Linotype" w:hAnsi="Palatino Linotype" w:cstheme="minorHAnsi"/>
          <w:sz w:val="24"/>
          <w:szCs w:val="24"/>
        </w:rPr>
        <w:t xml:space="preserve"> valor</w:t>
      </w:r>
      <w:r w:rsidR="00587E63" w:rsidRPr="00157F5B">
        <w:rPr>
          <w:rFonts w:ascii="Palatino Linotype" w:hAnsi="Palatino Linotype" w:cstheme="minorHAnsi"/>
          <w:sz w:val="24"/>
          <w:szCs w:val="24"/>
        </w:rPr>
        <w:t>e</w:t>
      </w:r>
      <w:r w:rsidR="007E6280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987424" w:rsidRPr="00157F5B">
        <w:rPr>
          <w:rFonts w:ascii="Palatino Linotype" w:hAnsi="Palatino Linotype" w:cstheme="minorHAnsi"/>
          <w:sz w:val="24"/>
          <w:szCs w:val="24"/>
        </w:rPr>
        <w:t xml:space="preserve">di </w:t>
      </w:r>
      <w:r w:rsidR="006A50D8" w:rsidRPr="00157F5B">
        <w:rPr>
          <w:rFonts w:ascii="Palatino Linotype" w:hAnsi="Palatino Linotype" w:cstheme="minorHAnsi"/>
          <w:sz w:val="24"/>
          <w:szCs w:val="24"/>
        </w:rPr>
        <w:t>1</w:t>
      </w:r>
      <w:r w:rsidR="007E6280" w:rsidRPr="00157F5B">
        <w:rPr>
          <w:rFonts w:ascii="Palatino Linotype" w:hAnsi="Palatino Linotype" w:cstheme="minorHAnsi"/>
          <w:sz w:val="24"/>
          <w:szCs w:val="24"/>
        </w:rPr>
        <w:t xml:space="preserve"> indicator</w:t>
      </w:r>
      <w:r w:rsidR="006A50D8" w:rsidRPr="00157F5B">
        <w:rPr>
          <w:rFonts w:ascii="Palatino Linotype" w:hAnsi="Palatino Linotype" w:cstheme="minorHAnsi"/>
          <w:sz w:val="24"/>
          <w:szCs w:val="24"/>
        </w:rPr>
        <w:t>e</w:t>
      </w:r>
      <w:r w:rsidR="00FA3B3E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5E4B42" w:rsidRPr="00157F5B">
        <w:rPr>
          <w:rFonts w:ascii="Palatino Linotype" w:hAnsi="Palatino Linotype" w:cstheme="minorHAnsi"/>
          <w:sz w:val="24"/>
          <w:szCs w:val="24"/>
        </w:rPr>
        <w:t>contrattual</w:t>
      </w:r>
      <w:r w:rsidR="00E81172" w:rsidRPr="00157F5B">
        <w:rPr>
          <w:rFonts w:ascii="Palatino Linotype" w:hAnsi="Palatino Linotype" w:cstheme="minorHAnsi"/>
          <w:sz w:val="24"/>
          <w:szCs w:val="24"/>
        </w:rPr>
        <w:t>e</w:t>
      </w:r>
      <w:r w:rsidR="00587E63" w:rsidRPr="00157F5B">
        <w:rPr>
          <w:rFonts w:ascii="Palatino Linotype" w:hAnsi="Palatino Linotype" w:cstheme="minorHAnsi"/>
          <w:sz w:val="24"/>
          <w:szCs w:val="24"/>
        </w:rPr>
        <w:t>: l’indicator</w:t>
      </w:r>
      <w:r w:rsidR="00E81172" w:rsidRPr="00157F5B">
        <w:rPr>
          <w:rFonts w:ascii="Palatino Linotype" w:hAnsi="Palatino Linotype" w:cstheme="minorHAnsi"/>
          <w:sz w:val="24"/>
          <w:szCs w:val="24"/>
        </w:rPr>
        <w:t>e</w:t>
      </w:r>
      <w:r w:rsidR="00587E63" w:rsidRPr="00157F5B">
        <w:rPr>
          <w:rFonts w:ascii="Palatino Linotype" w:hAnsi="Palatino Linotype" w:cstheme="minorHAnsi"/>
          <w:sz w:val="24"/>
          <w:szCs w:val="24"/>
        </w:rPr>
        <w:t xml:space="preserve"> monitorato è stato </w:t>
      </w:r>
      <w:r w:rsidR="00E81172" w:rsidRPr="00157F5B">
        <w:rPr>
          <w:rFonts w:ascii="Palatino Linotype" w:hAnsi="Palatino Linotype" w:cstheme="minorHAnsi"/>
          <w:sz w:val="24"/>
          <w:szCs w:val="24"/>
        </w:rPr>
        <w:t>l’indicatore relativo</w:t>
      </w:r>
      <w:r w:rsidR="00587E63"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E81172" w:rsidRPr="00157F5B">
        <w:rPr>
          <w:rFonts w:ascii="Palatino Linotype" w:hAnsi="Palatino Linotype" w:cstheme="minorHAnsi"/>
          <w:sz w:val="24"/>
          <w:szCs w:val="24"/>
        </w:rPr>
        <w:t>a</w:t>
      </w:r>
      <w:r w:rsidR="00587E63" w:rsidRPr="00157F5B">
        <w:rPr>
          <w:rFonts w:ascii="Palatino Linotype" w:hAnsi="Palatino Linotype" w:cstheme="minorHAnsi"/>
          <w:sz w:val="24"/>
          <w:szCs w:val="24"/>
        </w:rPr>
        <w:t xml:space="preserve">l </w:t>
      </w:r>
      <w:r w:rsidR="00587E63" w:rsidRPr="00C402F1">
        <w:rPr>
          <w:rFonts w:ascii="Palatino Linotype" w:hAnsi="Palatino Linotype" w:cstheme="minorHAnsi"/>
          <w:sz w:val="24"/>
          <w:szCs w:val="24"/>
          <w:u w:val="single"/>
        </w:rPr>
        <w:t>Servizio di supporto Specialistico</w:t>
      </w:r>
      <w:r w:rsidR="00587E63" w:rsidRPr="00157F5B">
        <w:rPr>
          <w:rFonts w:ascii="Palatino Linotype" w:hAnsi="Palatino Linotype" w:cstheme="minorHAnsi"/>
          <w:sz w:val="24"/>
          <w:szCs w:val="24"/>
        </w:rPr>
        <w:t xml:space="preserve"> (</w:t>
      </w:r>
      <w:r w:rsidR="00FA3B3E" w:rsidRPr="00157F5B">
        <w:rPr>
          <w:rFonts w:ascii="Palatino Linotype" w:hAnsi="Palatino Linotype" w:cstheme="minorHAnsi"/>
          <w:sz w:val="24"/>
          <w:szCs w:val="24"/>
        </w:rPr>
        <w:t>tabella</w:t>
      </w:r>
      <w:r w:rsidR="007821F8" w:rsidRPr="00157F5B">
        <w:rPr>
          <w:rFonts w:ascii="Palatino Linotype" w:hAnsi="Palatino Linotype" w:cstheme="minorHAnsi"/>
          <w:sz w:val="24"/>
          <w:szCs w:val="24"/>
        </w:rPr>
        <w:t xml:space="preserve"> segue</w:t>
      </w:r>
      <w:r w:rsidR="00E81172" w:rsidRPr="00157F5B">
        <w:rPr>
          <w:rFonts w:ascii="Palatino Linotype" w:hAnsi="Palatino Linotype" w:cstheme="minorHAnsi"/>
          <w:sz w:val="24"/>
          <w:szCs w:val="24"/>
        </w:rPr>
        <w:t>nte</w:t>
      </w:r>
      <w:r w:rsidR="00FA3B3E" w:rsidRPr="00157F5B">
        <w:rPr>
          <w:rFonts w:ascii="Palatino Linotype" w:hAnsi="Palatino Linotype" w:cstheme="minorHAnsi"/>
          <w:sz w:val="24"/>
          <w:szCs w:val="24"/>
        </w:rPr>
        <w:t>)</w:t>
      </w:r>
      <w:r w:rsidR="00E81172" w:rsidRPr="00157F5B">
        <w:rPr>
          <w:rFonts w:ascii="Palatino Linotype" w:hAnsi="Palatino Linotype" w:cstheme="minorHAnsi"/>
          <w:sz w:val="24"/>
          <w:szCs w:val="24"/>
        </w:rPr>
        <w:t>, indicatore riferito ai tempi di completamento dei relativi interventi</w:t>
      </w:r>
      <w:r w:rsidR="007E6280" w:rsidRPr="00157F5B">
        <w:rPr>
          <w:rFonts w:ascii="Palatino Linotype" w:hAnsi="Palatino Linotype" w:cstheme="minorHAnsi"/>
          <w:sz w:val="24"/>
          <w:szCs w:val="24"/>
        </w:rPr>
        <w:t>.</w:t>
      </w:r>
      <w:r w:rsidR="00216D2A" w:rsidRPr="00157F5B">
        <w:rPr>
          <w:rFonts w:ascii="Palatino Linotype" w:hAnsi="Palatino Linotype" w:cstheme="minorHAnsi"/>
          <w:sz w:val="24"/>
          <w:szCs w:val="24"/>
        </w:rPr>
        <w:t xml:space="preserve"> </w:t>
      </w:r>
    </w:p>
    <w:p w14:paraId="6F06DBC4" w14:textId="77777777" w:rsidR="00094805" w:rsidRPr="00157F5B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094805" w:rsidRPr="00157F5B" w14:paraId="753AF128" w14:textId="77777777" w:rsidTr="003D58A0">
        <w:tc>
          <w:tcPr>
            <w:tcW w:w="2682" w:type="dxa"/>
            <w:shd w:val="clear" w:color="auto" w:fill="D5DCE4" w:themeFill="text2" w:themeFillTint="33"/>
          </w:tcPr>
          <w:p w14:paraId="49898227" w14:textId="77777777" w:rsidR="00094805" w:rsidRPr="00157F5B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157F5B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3B52DED2" w14:textId="77777777" w:rsidR="00094805" w:rsidRPr="00157F5B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157F5B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="002C23E6" w:rsidRPr="00157F5B" w14:paraId="6AC6B7F2" w14:textId="77777777" w:rsidTr="00420BFC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A085" w14:textId="68B60B41" w:rsidR="002C23E6" w:rsidRPr="00157F5B" w:rsidRDefault="002C4B0B" w:rsidP="002C23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157F5B">
              <w:rPr>
                <w:rFonts w:ascii="Palatino Linotype" w:hAnsi="Palatino Linotype" w:cstheme="minorHAnsi"/>
                <w:lang w:val="it-IT"/>
              </w:rPr>
              <w:t>Servizio di Supporto Specialistico per il NAC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5FAE3" w14:textId="5F5467E2" w:rsidR="00AE00D4" w:rsidRPr="00157F5B" w:rsidRDefault="001315C6" w:rsidP="00AE00D4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 xml:space="preserve">ID17.6 </w:t>
            </w:r>
            <w:r w:rsidR="00861941"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>–</w:t>
            </w:r>
            <w:r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 xml:space="preserve"> </w:t>
            </w:r>
            <w:r w:rsidR="00861941"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>si riferisce ai t</w:t>
            </w:r>
            <w:r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>emp</w:t>
            </w:r>
            <w:r w:rsidR="00861941"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>i</w:t>
            </w:r>
            <w:r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 xml:space="preserve"> di completamento degli interventi di Supporto Specialistico</w:t>
            </w:r>
            <w:r w:rsidR="00AE00D4" w:rsidRPr="00157F5B">
              <w:rPr>
                <w:rFonts w:ascii="Palatino Linotype" w:hAnsi="Palatino Linotype" w:cstheme="minorHAnsi"/>
                <w:color w:val="000000" w:themeColor="text1"/>
                <w:lang w:val="it-IT"/>
              </w:rPr>
              <w:t xml:space="preserve"> (Tipologia Indicatore: Efficienza/Efficacia del Servizio)</w:t>
            </w:r>
          </w:p>
        </w:tc>
      </w:tr>
    </w:tbl>
    <w:p w14:paraId="52B1D55E" w14:textId="072DEDE3" w:rsidR="00BA32A7" w:rsidRPr="00157F5B" w:rsidRDefault="00BA32A7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14:paraId="0790A82E" w14:textId="57BA3B83" w:rsidR="006351A4" w:rsidRPr="00157F5B" w:rsidRDefault="00E81172" w:rsidP="00E81172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 w:rsidRPr="00157F5B">
        <w:rPr>
          <w:rFonts w:ascii="Palatino Linotype" w:hAnsi="Palatino Linotype" w:cstheme="minorHAnsi"/>
        </w:rPr>
        <w:t>Si riscontra il rispetto del valore calcolato nei confronti dei valori attesi, cumulativamente per tutti i vari interventi</w:t>
      </w:r>
      <w:r w:rsidR="00A12956" w:rsidRPr="00157F5B">
        <w:rPr>
          <w:rFonts w:ascii="Palatino Linotype" w:hAnsi="Palatino Linotype" w:cstheme="minorHAnsi"/>
        </w:rPr>
        <w:t xml:space="preserve"> effettuati</w:t>
      </w:r>
      <w:r w:rsidRPr="00157F5B">
        <w:rPr>
          <w:rFonts w:ascii="Palatino Linotype" w:hAnsi="Palatino Linotype" w:cstheme="minorHAnsi"/>
        </w:rPr>
        <w:t xml:space="preserve">. </w:t>
      </w:r>
      <w:r w:rsidR="00155276" w:rsidRPr="00157F5B">
        <w:rPr>
          <w:rFonts w:ascii="Palatino Linotype" w:hAnsi="Palatino Linotype" w:cstheme="minorHAnsi"/>
        </w:rPr>
        <w:t>In generale, p</w:t>
      </w:r>
      <w:r w:rsidR="006351A4" w:rsidRPr="00157F5B">
        <w:rPr>
          <w:rFonts w:ascii="Palatino Linotype" w:hAnsi="Palatino Linotype" w:cstheme="minorHAnsi"/>
        </w:rPr>
        <w:t>er visionare nel dettaglio i valori calcolati</w:t>
      </w:r>
      <w:r w:rsidRPr="00157F5B">
        <w:rPr>
          <w:rFonts w:ascii="Palatino Linotype" w:hAnsi="Palatino Linotype" w:cstheme="minorHAnsi"/>
        </w:rPr>
        <w:t>,</w:t>
      </w:r>
      <w:r w:rsidR="009A5994" w:rsidRPr="00157F5B">
        <w:rPr>
          <w:rFonts w:ascii="Palatino Linotype" w:hAnsi="Palatino Linotype" w:cstheme="minorHAnsi"/>
        </w:rPr>
        <w:t xml:space="preserve"> il metodo di calcolo</w:t>
      </w:r>
      <w:r w:rsidRPr="00157F5B">
        <w:rPr>
          <w:rFonts w:ascii="Palatino Linotype" w:hAnsi="Palatino Linotype" w:cstheme="minorHAnsi"/>
        </w:rPr>
        <w:t xml:space="preserve"> e i valori attesi</w:t>
      </w:r>
      <w:r w:rsidR="006351A4" w:rsidRPr="00157F5B">
        <w:rPr>
          <w:rFonts w:ascii="Palatino Linotype" w:hAnsi="Palatino Linotype" w:cstheme="minorHAnsi"/>
        </w:rPr>
        <w:t xml:space="preserve"> per ciascun indicatore oggetto di monitoraggio, si può fare riferimento al file </w:t>
      </w:r>
      <w:r w:rsidR="00D06B51" w:rsidRPr="00157F5B">
        <w:rPr>
          <w:rFonts w:ascii="Palatino Linotype" w:hAnsi="Palatino Linotype" w:cstheme="minorHAnsi"/>
        </w:rPr>
        <w:t>E</w:t>
      </w:r>
      <w:r w:rsidR="006351A4" w:rsidRPr="00157F5B">
        <w:rPr>
          <w:rFonts w:ascii="Palatino Linotype" w:hAnsi="Palatino Linotype" w:cstheme="minorHAnsi"/>
        </w:rPr>
        <w:t>xcel riportato di seguito:</w:t>
      </w:r>
    </w:p>
    <w:p w14:paraId="43B13FAB" w14:textId="2DC4DEC1" w:rsidR="006351A4" w:rsidRPr="00157F5B" w:rsidRDefault="00F46AFC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>
        <w:object w:dxaOrig="1534" w:dyaOrig="994" w14:anchorId="3BC6C5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75pt;height:49.6pt" o:ole="">
            <v:imagedata r:id="rId12" o:title=""/>
          </v:shape>
          <o:OLEObject Type="Embed" ProgID="Excel.Sheet.12" ShapeID="_x0000_i1028" DrawAspect="Icon" ObjectID="_1820313585" r:id="rId13"/>
        </w:object>
      </w:r>
    </w:p>
    <w:p w14:paraId="6918B5A3" w14:textId="425FD83C" w:rsidR="00EF458A" w:rsidRPr="00157F5B" w:rsidRDefault="00EF458A" w:rsidP="214346F9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9" w:name="_Toc128568883"/>
      <w:bookmarkStart w:id="10" w:name="_Toc193364065"/>
      <w:r w:rsidRPr="00157F5B">
        <w:rPr>
          <w:rFonts w:ascii="Palatino Linotype" w:eastAsia="Times New Roman" w:hAnsi="Palatino Linotype" w:cstheme="minorBidi"/>
          <w:b/>
          <w:bCs/>
          <w:color w:val="auto"/>
        </w:rPr>
        <w:t>Eventuali innovazioni tecnologiche</w:t>
      </w:r>
      <w:bookmarkEnd w:id="9"/>
      <w:bookmarkEnd w:id="10"/>
    </w:p>
    <w:p w14:paraId="71F7448B" w14:textId="7AE5FC59" w:rsidR="006107D5" w:rsidRPr="00157F5B" w:rsidRDefault="00C06850" w:rsidP="006107D5">
      <w:pPr>
        <w:ind w:left="432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Sulla componente NAC non ci sono state innovazioni tecnologiche</w:t>
      </w:r>
      <w:r w:rsidR="002157D2" w:rsidRPr="00157F5B">
        <w:rPr>
          <w:rFonts w:ascii="Palatino Linotype" w:hAnsi="Palatino Linotype" w:cstheme="minorHAnsi"/>
          <w:sz w:val="24"/>
          <w:szCs w:val="24"/>
        </w:rPr>
        <w:t xml:space="preserve">. </w:t>
      </w:r>
    </w:p>
    <w:p w14:paraId="73FD13BD" w14:textId="77777777" w:rsidR="00EF458A" w:rsidRPr="00157F5B" w:rsidRDefault="00EF458A" w:rsidP="00EF458A">
      <w:pPr>
        <w:rPr>
          <w:rFonts w:ascii="Palatino Linotype" w:hAnsi="Palatino Linotype"/>
        </w:rPr>
      </w:pPr>
    </w:p>
    <w:p w14:paraId="4D35EE4C" w14:textId="59C27B03" w:rsidR="00EF458A" w:rsidRPr="00157F5B" w:rsidRDefault="0043218B" w:rsidP="00EF458A">
      <w:pPr>
        <w:rPr>
          <w:rFonts w:ascii="Palatino Linotype" w:hAnsi="Palatino Linotype" w:cstheme="minorHAnsi"/>
        </w:rPr>
      </w:pPr>
      <w:r w:rsidRPr="00157F5B">
        <w:rPr>
          <w:rFonts w:ascii="Palatino Linotype" w:hAnsi="Palatino Linotype" w:cstheme="minorHAnsi"/>
        </w:rPr>
        <w:t>-</w:t>
      </w:r>
    </w:p>
    <w:p w14:paraId="2903CAE7" w14:textId="298185AD" w:rsidR="00EF458A" w:rsidRPr="00157F5B" w:rsidRDefault="00EF458A" w:rsidP="214346F9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11" w:name="_Toc128568884"/>
      <w:bookmarkStart w:id="12" w:name="_Toc193364066"/>
      <w:r w:rsidRPr="00157F5B">
        <w:rPr>
          <w:rFonts w:ascii="Palatino Linotype" w:eastAsia="Times New Roman" w:hAnsi="Palatino Linotype" w:cstheme="minorBidi"/>
          <w:b/>
          <w:bCs/>
          <w:color w:val="auto"/>
        </w:rPr>
        <w:t>Aspetti della eventuale non conformità</w:t>
      </w:r>
      <w:bookmarkEnd w:id="11"/>
      <w:bookmarkEnd w:id="12"/>
    </w:p>
    <w:p w14:paraId="68F2034E" w14:textId="7D777CBA" w:rsidR="000C7036" w:rsidRPr="00157F5B" w:rsidRDefault="006553B4" w:rsidP="000C7036">
      <w:pPr>
        <w:ind w:left="432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Non sono state rilevate non conformità nel periodo di riferimento.</w:t>
      </w:r>
    </w:p>
    <w:p w14:paraId="118BCBF9" w14:textId="77777777" w:rsidR="00EF458A" w:rsidRPr="00157F5B" w:rsidRDefault="00EF458A" w:rsidP="00EF458A">
      <w:pPr>
        <w:rPr>
          <w:rFonts w:ascii="Palatino Linotype" w:hAnsi="Palatino Linotype"/>
        </w:rPr>
      </w:pPr>
    </w:p>
    <w:p w14:paraId="5B88A450" w14:textId="134BD7EB" w:rsidR="00EF458A" w:rsidRPr="00157F5B" w:rsidRDefault="0043218B" w:rsidP="00EF458A">
      <w:pPr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>-</w:t>
      </w:r>
    </w:p>
    <w:p w14:paraId="24146715" w14:textId="77777777" w:rsidR="00EF458A" w:rsidRPr="00157F5B" w:rsidRDefault="00EF458A" w:rsidP="214346F9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Bidi"/>
          <w:b/>
          <w:bCs/>
          <w:color w:val="auto"/>
        </w:rPr>
      </w:pPr>
      <w:bookmarkStart w:id="13" w:name="_Toc128568885"/>
      <w:bookmarkStart w:id="14" w:name="_Toc193364067"/>
      <w:r w:rsidRPr="00157F5B">
        <w:rPr>
          <w:rFonts w:ascii="Palatino Linotype" w:eastAsia="Times New Roman" w:hAnsi="Palatino Linotype" w:cstheme="minorBidi"/>
          <w:b/>
          <w:bCs/>
          <w:color w:val="auto"/>
        </w:rPr>
        <w:lastRenderedPageBreak/>
        <w:t>Indicazioni per la Governance</w:t>
      </w:r>
      <w:bookmarkEnd w:id="13"/>
      <w:bookmarkEnd w:id="14"/>
    </w:p>
    <w:p w14:paraId="3DC35830" w14:textId="7D3BB714" w:rsidR="00EF458A" w:rsidRPr="00157F5B" w:rsidRDefault="006553B4" w:rsidP="006553B4">
      <w:pPr>
        <w:ind w:left="432"/>
        <w:jc w:val="both"/>
        <w:rPr>
          <w:rFonts w:ascii="Palatino Linotype" w:hAnsi="Palatino Linotype" w:cstheme="minorHAnsi"/>
          <w:sz w:val="24"/>
          <w:szCs w:val="24"/>
        </w:rPr>
      </w:pPr>
      <w:r w:rsidRPr="00157F5B">
        <w:rPr>
          <w:rFonts w:ascii="Palatino Linotype" w:hAnsi="Palatino Linotype" w:cstheme="minorHAnsi"/>
          <w:sz w:val="24"/>
          <w:szCs w:val="24"/>
        </w:rPr>
        <w:t xml:space="preserve">Si esplicita al momento l’unica raccomandazione di sollecitare i fornitori su aggiornamenti del Piano di Lavoro </w:t>
      </w:r>
      <w:r w:rsidR="00810CCA" w:rsidRPr="00157F5B">
        <w:rPr>
          <w:rFonts w:ascii="Palatino Linotype" w:hAnsi="Palatino Linotype" w:cstheme="minorHAnsi"/>
          <w:sz w:val="24"/>
          <w:szCs w:val="24"/>
        </w:rPr>
        <w:t>in</w:t>
      </w:r>
      <w:r w:rsidR="001D1C82" w:rsidRPr="00157F5B">
        <w:rPr>
          <w:rFonts w:ascii="Palatino Linotype" w:hAnsi="Palatino Linotype" w:cstheme="minorHAnsi"/>
          <w:sz w:val="24"/>
          <w:szCs w:val="24"/>
        </w:rPr>
        <w:t xml:space="preserve"> caso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di eventuali ritardi o problematiche che facciano deviare da quanto previsto dal</w:t>
      </w:r>
      <w:r w:rsidR="001D1C82" w:rsidRPr="00157F5B">
        <w:rPr>
          <w:rFonts w:ascii="Palatino Linotype" w:hAnsi="Palatino Linotype" w:cstheme="minorHAnsi"/>
          <w:sz w:val="24"/>
          <w:szCs w:val="24"/>
        </w:rPr>
        <w:t xml:space="preserve"> Piano di Lavoro</w:t>
      </w:r>
      <w:r w:rsidRPr="00157F5B">
        <w:rPr>
          <w:rFonts w:ascii="Palatino Linotype" w:hAnsi="Palatino Linotype" w:cstheme="minorHAnsi"/>
          <w:sz w:val="24"/>
          <w:szCs w:val="24"/>
        </w:rPr>
        <w:t xml:space="preserve"> </w:t>
      </w:r>
      <w:r w:rsidR="00810CCA" w:rsidRPr="00157F5B">
        <w:rPr>
          <w:rFonts w:ascii="Palatino Linotype" w:hAnsi="Palatino Linotype" w:cstheme="minorHAnsi"/>
          <w:sz w:val="24"/>
          <w:szCs w:val="24"/>
        </w:rPr>
        <w:t xml:space="preserve">originario </w:t>
      </w:r>
      <w:r w:rsidRPr="00157F5B">
        <w:rPr>
          <w:rFonts w:ascii="Palatino Linotype" w:hAnsi="Palatino Linotype" w:cstheme="minorHAnsi"/>
          <w:sz w:val="24"/>
          <w:szCs w:val="24"/>
        </w:rPr>
        <w:t>stesso.</w:t>
      </w:r>
    </w:p>
    <w:p w14:paraId="09F0B5DD" w14:textId="1A6F91A9" w:rsidR="000F58E5" w:rsidRPr="00157F5B" w:rsidRDefault="000F58E5" w:rsidP="006553B4">
      <w:pPr>
        <w:pStyle w:val="Paragrafoelenco"/>
        <w:ind w:left="720" w:firstLine="0"/>
        <w:jc w:val="both"/>
        <w:rPr>
          <w:rFonts w:ascii="Palatino Linotype" w:hAnsi="Palatino Linotype" w:cstheme="minorHAnsi"/>
          <w:sz w:val="24"/>
          <w:szCs w:val="24"/>
        </w:rPr>
      </w:pPr>
    </w:p>
    <w:sectPr w:rsidR="000F58E5" w:rsidRPr="00157F5B" w:rsidSect="003C3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84654" w14:textId="77777777" w:rsidR="006B7912" w:rsidRDefault="006B7912" w:rsidP="00F53C03">
      <w:r>
        <w:separator/>
      </w:r>
    </w:p>
  </w:endnote>
  <w:endnote w:type="continuationSeparator" w:id="0">
    <w:p w14:paraId="6E6B9910" w14:textId="77777777" w:rsidR="006B7912" w:rsidRDefault="006B7912" w:rsidP="00F53C03">
      <w:r>
        <w:continuationSeparator/>
      </w:r>
    </w:p>
  </w:endnote>
  <w:endnote w:type="continuationNotice" w:id="1">
    <w:p w14:paraId="00E0A9B9" w14:textId="77777777" w:rsidR="006B7912" w:rsidRDefault="006B7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Palace Script MT"/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B36D9" w14:textId="77777777" w:rsidR="006B7912" w:rsidRDefault="006B7912" w:rsidP="00F53C03">
      <w:r>
        <w:separator/>
      </w:r>
    </w:p>
  </w:footnote>
  <w:footnote w:type="continuationSeparator" w:id="0">
    <w:p w14:paraId="2AC8EA38" w14:textId="77777777" w:rsidR="006B7912" w:rsidRDefault="006B7912" w:rsidP="00F53C03">
      <w:r>
        <w:continuationSeparator/>
      </w:r>
    </w:p>
  </w:footnote>
  <w:footnote w:type="continuationNotice" w:id="1">
    <w:p w14:paraId="1AB7E5CD" w14:textId="77777777" w:rsidR="006B7912" w:rsidRDefault="006B79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423ED"/>
    <w:multiLevelType w:val="hybridMultilevel"/>
    <w:tmpl w:val="234A2D28"/>
    <w:lvl w:ilvl="0" w:tplc="C4B04CF0">
      <w:start w:val="2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F4896"/>
    <w:multiLevelType w:val="hybridMultilevel"/>
    <w:tmpl w:val="435EC7EC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2" w15:restartNumberingAfterBreak="0">
    <w:nsid w:val="45336EEB"/>
    <w:multiLevelType w:val="hybridMultilevel"/>
    <w:tmpl w:val="75D87134"/>
    <w:lvl w:ilvl="0" w:tplc="24123B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9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86061"/>
    <w:multiLevelType w:val="hybridMultilevel"/>
    <w:tmpl w:val="75025E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13373958">
    <w:abstractNumId w:val="30"/>
  </w:num>
  <w:num w:numId="2" w16cid:durableId="1688630288">
    <w:abstractNumId w:val="27"/>
  </w:num>
  <w:num w:numId="3" w16cid:durableId="2026708069">
    <w:abstractNumId w:val="10"/>
  </w:num>
  <w:num w:numId="4" w16cid:durableId="984436478">
    <w:abstractNumId w:val="20"/>
  </w:num>
  <w:num w:numId="5" w16cid:durableId="567347092">
    <w:abstractNumId w:val="8"/>
  </w:num>
  <w:num w:numId="6" w16cid:durableId="618296719">
    <w:abstractNumId w:val="15"/>
  </w:num>
  <w:num w:numId="7" w16cid:durableId="968055357">
    <w:abstractNumId w:val="14"/>
  </w:num>
  <w:num w:numId="8" w16cid:durableId="579872984">
    <w:abstractNumId w:val="13"/>
  </w:num>
  <w:num w:numId="9" w16cid:durableId="1387492566">
    <w:abstractNumId w:val="24"/>
  </w:num>
  <w:num w:numId="10" w16cid:durableId="668677159">
    <w:abstractNumId w:val="22"/>
  </w:num>
  <w:num w:numId="11" w16cid:durableId="22633163">
    <w:abstractNumId w:val="31"/>
  </w:num>
  <w:num w:numId="12" w16cid:durableId="1340816852">
    <w:abstractNumId w:val="17"/>
  </w:num>
  <w:num w:numId="13" w16cid:durableId="1269772905">
    <w:abstractNumId w:val="1"/>
  </w:num>
  <w:num w:numId="14" w16cid:durableId="1022049512">
    <w:abstractNumId w:val="9"/>
  </w:num>
  <w:num w:numId="15" w16cid:durableId="16392277">
    <w:abstractNumId w:val="32"/>
  </w:num>
  <w:num w:numId="16" w16cid:durableId="1057776305">
    <w:abstractNumId w:val="5"/>
  </w:num>
  <w:num w:numId="17" w16cid:durableId="543951227">
    <w:abstractNumId w:val="18"/>
  </w:num>
  <w:num w:numId="18" w16cid:durableId="223491377">
    <w:abstractNumId w:val="29"/>
  </w:num>
  <w:num w:numId="19" w16cid:durableId="1532955347">
    <w:abstractNumId w:val="16"/>
  </w:num>
  <w:num w:numId="20" w16cid:durableId="82337523">
    <w:abstractNumId w:val="21"/>
  </w:num>
  <w:num w:numId="21" w16cid:durableId="144592107">
    <w:abstractNumId w:val="7"/>
  </w:num>
  <w:num w:numId="22" w16cid:durableId="318382923">
    <w:abstractNumId w:val="19"/>
  </w:num>
  <w:num w:numId="23" w16cid:durableId="936448635">
    <w:abstractNumId w:val="25"/>
  </w:num>
  <w:num w:numId="24" w16cid:durableId="817765173">
    <w:abstractNumId w:val="2"/>
  </w:num>
  <w:num w:numId="25" w16cid:durableId="843663265">
    <w:abstractNumId w:val="23"/>
  </w:num>
  <w:num w:numId="26" w16cid:durableId="2002660228">
    <w:abstractNumId w:val="26"/>
  </w:num>
  <w:num w:numId="27" w16cid:durableId="1477142103">
    <w:abstractNumId w:val="11"/>
  </w:num>
  <w:num w:numId="28" w16cid:durableId="333804513">
    <w:abstractNumId w:val="4"/>
  </w:num>
  <w:num w:numId="29" w16cid:durableId="10114330">
    <w:abstractNumId w:val="28"/>
  </w:num>
  <w:num w:numId="30" w16cid:durableId="161891222">
    <w:abstractNumId w:val="3"/>
  </w:num>
  <w:num w:numId="31" w16cid:durableId="211163286">
    <w:abstractNumId w:val="0"/>
  </w:num>
  <w:num w:numId="32" w16cid:durableId="1538854333">
    <w:abstractNumId w:val="6"/>
  </w:num>
  <w:num w:numId="33" w16cid:durableId="2040233112">
    <w:abstractNumId w:val="33"/>
  </w:num>
  <w:num w:numId="34" w16cid:durableId="20906899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27B0"/>
    <w:rsid w:val="00012BD7"/>
    <w:rsid w:val="00012BF3"/>
    <w:rsid w:val="00014AB9"/>
    <w:rsid w:val="0001513F"/>
    <w:rsid w:val="00017ECF"/>
    <w:rsid w:val="000255BE"/>
    <w:rsid w:val="00025959"/>
    <w:rsid w:val="000262C1"/>
    <w:rsid w:val="00027019"/>
    <w:rsid w:val="00036EA8"/>
    <w:rsid w:val="000370E2"/>
    <w:rsid w:val="000416F6"/>
    <w:rsid w:val="00042111"/>
    <w:rsid w:val="00042B76"/>
    <w:rsid w:val="00042BFC"/>
    <w:rsid w:val="00043C4D"/>
    <w:rsid w:val="00046BB0"/>
    <w:rsid w:val="00050773"/>
    <w:rsid w:val="0005569E"/>
    <w:rsid w:val="00060F1A"/>
    <w:rsid w:val="0006258E"/>
    <w:rsid w:val="00064430"/>
    <w:rsid w:val="00066367"/>
    <w:rsid w:val="000721A2"/>
    <w:rsid w:val="00072401"/>
    <w:rsid w:val="00072E84"/>
    <w:rsid w:val="000746BA"/>
    <w:rsid w:val="00074F23"/>
    <w:rsid w:val="0007577D"/>
    <w:rsid w:val="00082B12"/>
    <w:rsid w:val="000876D7"/>
    <w:rsid w:val="00090D2E"/>
    <w:rsid w:val="00094805"/>
    <w:rsid w:val="00095C08"/>
    <w:rsid w:val="00096066"/>
    <w:rsid w:val="000A485A"/>
    <w:rsid w:val="000A6355"/>
    <w:rsid w:val="000A7045"/>
    <w:rsid w:val="000B15D0"/>
    <w:rsid w:val="000B58E6"/>
    <w:rsid w:val="000B78F2"/>
    <w:rsid w:val="000C1F4A"/>
    <w:rsid w:val="000C1F53"/>
    <w:rsid w:val="000C2F43"/>
    <w:rsid w:val="000C514F"/>
    <w:rsid w:val="000C6A25"/>
    <w:rsid w:val="000C7036"/>
    <w:rsid w:val="000D0AEE"/>
    <w:rsid w:val="000E307B"/>
    <w:rsid w:val="000E4229"/>
    <w:rsid w:val="000E60C3"/>
    <w:rsid w:val="000E7C6E"/>
    <w:rsid w:val="000F13B4"/>
    <w:rsid w:val="000F1C76"/>
    <w:rsid w:val="000F2BE8"/>
    <w:rsid w:val="000F58E5"/>
    <w:rsid w:val="000F7439"/>
    <w:rsid w:val="00105343"/>
    <w:rsid w:val="00110088"/>
    <w:rsid w:val="001119BF"/>
    <w:rsid w:val="00112747"/>
    <w:rsid w:val="00113A8A"/>
    <w:rsid w:val="00116D5C"/>
    <w:rsid w:val="00120E1A"/>
    <w:rsid w:val="00122132"/>
    <w:rsid w:val="00123352"/>
    <w:rsid w:val="001315C6"/>
    <w:rsid w:val="0013778F"/>
    <w:rsid w:val="001542C2"/>
    <w:rsid w:val="00154516"/>
    <w:rsid w:val="00155276"/>
    <w:rsid w:val="00155D84"/>
    <w:rsid w:val="00156624"/>
    <w:rsid w:val="00157F5B"/>
    <w:rsid w:val="00160547"/>
    <w:rsid w:val="00170441"/>
    <w:rsid w:val="0017124E"/>
    <w:rsid w:val="00174DF0"/>
    <w:rsid w:val="00180C8A"/>
    <w:rsid w:val="00182A19"/>
    <w:rsid w:val="00185885"/>
    <w:rsid w:val="001A2123"/>
    <w:rsid w:val="001B0658"/>
    <w:rsid w:val="001B1EA7"/>
    <w:rsid w:val="001B5269"/>
    <w:rsid w:val="001C3E87"/>
    <w:rsid w:val="001C3F4C"/>
    <w:rsid w:val="001C6665"/>
    <w:rsid w:val="001D1C82"/>
    <w:rsid w:val="001E2A18"/>
    <w:rsid w:val="001E4C77"/>
    <w:rsid w:val="001F1019"/>
    <w:rsid w:val="001F155A"/>
    <w:rsid w:val="001F5823"/>
    <w:rsid w:val="0020130E"/>
    <w:rsid w:val="00203D03"/>
    <w:rsid w:val="002047CA"/>
    <w:rsid w:val="00206F00"/>
    <w:rsid w:val="00211527"/>
    <w:rsid w:val="002157D2"/>
    <w:rsid w:val="00215A1C"/>
    <w:rsid w:val="00216D2A"/>
    <w:rsid w:val="00221009"/>
    <w:rsid w:val="00227CB1"/>
    <w:rsid w:val="00230035"/>
    <w:rsid w:val="0023087F"/>
    <w:rsid w:val="00231575"/>
    <w:rsid w:val="00232AC2"/>
    <w:rsid w:val="00232AEA"/>
    <w:rsid w:val="00233787"/>
    <w:rsid w:val="00240E8E"/>
    <w:rsid w:val="002516A8"/>
    <w:rsid w:val="002520EF"/>
    <w:rsid w:val="00253887"/>
    <w:rsid w:val="002706E3"/>
    <w:rsid w:val="002803C2"/>
    <w:rsid w:val="002841BD"/>
    <w:rsid w:val="0028525E"/>
    <w:rsid w:val="002876CE"/>
    <w:rsid w:val="0029280A"/>
    <w:rsid w:val="002947AB"/>
    <w:rsid w:val="002A0ED0"/>
    <w:rsid w:val="002A0FBB"/>
    <w:rsid w:val="002A25A7"/>
    <w:rsid w:val="002B0D0C"/>
    <w:rsid w:val="002B19A5"/>
    <w:rsid w:val="002B7BE7"/>
    <w:rsid w:val="002B7E4B"/>
    <w:rsid w:val="002B7FA4"/>
    <w:rsid w:val="002C0643"/>
    <w:rsid w:val="002C120B"/>
    <w:rsid w:val="002C1AD9"/>
    <w:rsid w:val="002C23E6"/>
    <w:rsid w:val="002C4B0B"/>
    <w:rsid w:val="002C6644"/>
    <w:rsid w:val="002D0D57"/>
    <w:rsid w:val="002D0F78"/>
    <w:rsid w:val="002D1F9F"/>
    <w:rsid w:val="002D24FC"/>
    <w:rsid w:val="002E132E"/>
    <w:rsid w:val="002E20AC"/>
    <w:rsid w:val="002E3B11"/>
    <w:rsid w:val="002E52DE"/>
    <w:rsid w:val="002E664D"/>
    <w:rsid w:val="002E786E"/>
    <w:rsid w:val="002F3B75"/>
    <w:rsid w:val="002F6747"/>
    <w:rsid w:val="002F697D"/>
    <w:rsid w:val="00300F46"/>
    <w:rsid w:val="003118F4"/>
    <w:rsid w:val="00312577"/>
    <w:rsid w:val="00314B2B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2294"/>
    <w:rsid w:val="00333CB3"/>
    <w:rsid w:val="00335169"/>
    <w:rsid w:val="00336777"/>
    <w:rsid w:val="00342938"/>
    <w:rsid w:val="00343E1E"/>
    <w:rsid w:val="00347D7F"/>
    <w:rsid w:val="00354E43"/>
    <w:rsid w:val="00370026"/>
    <w:rsid w:val="003707A9"/>
    <w:rsid w:val="003721B2"/>
    <w:rsid w:val="0037632A"/>
    <w:rsid w:val="003764CE"/>
    <w:rsid w:val="0037650D"/>
    <w:rsid w:val="00383F00"/>
    <w:rsid w:val="00384349"/>
    <w:rsid w:val="003845FA"/>
    <w:rsid w:val="003873E0"/>
    <w:rsid w:val="00390EF6"/>
    <w:rsid w:val="00393546"/>
    <w:rsid w:val="003A30D3"/>
    <w:rsid w:val="003A31A6"/>
    <w:rsid w:val="003B1C10"/>
    <w:rsid w:val="003B481F"/>
    <w:rsid w:val="003B4C33"/>
    <w:rsid w:val="003B4DB1"/>
    <w:rsid w:val="003B5298"/>
    <w:rsid w:val="003B588A"/>
    <w:rsid w:val="003C328A"/>
    <w:rsid w:val="003C3B7F"/>
    <w:rsid w:val="003C6225"/>
    <w:rsid w:val="003D4040"/>
    <w:rsid w:val="003D435E"/>
    <w:rsid w:val="003D58A0"/>
    <w:rsid w:val="003D65F7"/>
    <w:rsid w:val="003D79EB"/>
    <w:rsid w:val="003E3F09"/>
    <w:rsid w:val="003E4C13"/>
    <w:rsid w:val="003F1611"/>
    <w:rsid w:val="003F2390"/>
    <w:rsid w:val="003F773B"/>
    <w:rsid w:val="00400935"/>
    <w:rsid w:val="0040582E"/>
    <w:rsid w:val="0040641A"/>
    <w:rsid w:val="004101C9"/>
    <w:rsid w:val="0041236B"/>
    <w:rsid w:val="0041495F"/>
    <w:rsid w:val="00420BFC"/>
    <w:rsid w:val="004219CC"/>
    <w:rsid w:val="0042644E"/>
    <w:rsid w:val="0043218B"/>
    <w:rsid w:val="004343A7"/>
    <w:rsid w:val="00434558"/>
    <w:rsid w:val="00441623"/>
    <w:rsid w:val="00441AD3"/>
    <w:rsid w:val="00451096"/>
    <w:rsid w:val="0045159C"/>
    <w:rsid w:val="00452C6C"/>
    <w:rsid w:val="0045455E"/>
    <w:rsid w:val="00454D7C"/>
    <w:rsid w:val="00455347"/>
    <w:rsid w:val="00456D55"/>
    <w:rsid w:val="004605F8"/>
    <w:rsid w:val="00465094"/>
    <w:rsid w:val="00471D5F"/>
    <w:rsid w:val="00473469"/>
    <w:rsid w:val="004738C4"/>
    <w:rsid w:val="00474AC2"/>
    <w:rsid w:val="00474D52"/>
    <w:rsid w:val="00481701"/>
    <w:rsid w:val="0048182F"/>
    <w:rsid w:val="0048347B"/>
    <w:rsid w:val="0049567C"/>
    <w:rsid w:val="00495B99"/>
    <w:rsid w:val="00497BD9"/>
    <w:rsid w:val="004A1C21"/>
    <w:rsid w:val="004A2781"/>
    <w:rsid w:val="004A4B0F"/>
    <w:rsid w:val="004A728B"/>
    <w:rsid w:val="004A77F5"/>
    <w:rsid w:val="004B60FA"/>
    <w:rsid w:val="004C5EAE"/>
    <w:rsid w:val="004C6B80"/>
    <w:rsid w:val="004C7E9A"/>
    <w:rsid w:val="004D167F"/>
    <w:rsid w:val="004D4607"/>
    <w:rsid w:val="004E44A1"/>
    <w:rsid w:val="004F3043"/>
    <w:rsid w:val="004F4675"/>
    <w:rsid w:val="004F5667"/>
    <w:rsid w:val="004F7144"/>
    <w:rsid w:val="004F73C0"/>
    <w:rsid w:val="005017E8"/>
    <w:rsid w:val="00504701"/>
    <w:rsid w:val="005078E3"/>
    <w:rsid w:val="00510CEF"/>
    <w:rsid w:val="00511322"/>
    <w:rsid w:val="00514A29"/>
    <w:rsid w:val="00514AEE"/>
    <w:rsid w:val="00514F9B"/>
    <w:rsid w:val="0051536C"/>
    <w:rsid w:val="00515F3C"/>
    <w:rsid w:val="00520E26"/>
    <w:rsid w:val="00521818"/>
    <w:rsid w:val="005236E1"/>
    <w:rsid w:val="005242A8"/>
    <w:rsid w:val="00526D41"/>
    <w:rsid w:val="00530177"/>
    <w:rsid w:val="00535CBD"/>
    <w:rsid w:val="00537995"/>
    <w:rsid w:val="00547E50"/>
    <w:rsid w:val="0055091E"/>
    <w:rsid w:val="005509B9"/>
    <w:rsid w:val="00551682"/>
    <w:rsid w:val="00565137"/>
    <w:rsid w:val="005752EC"/>
    <w:rsid w:val="00575635"/>
    <w:rsid w:val="005766BB"/>
    <w:rsid w:val="005768CB"/>
    <w:rsid w:val="00580F46"/>
    <w:rsid w:val="005832B3"/>
    <w:rsid w:val="00585405"/>
    <w:rsid w:val="00587E63"/>
    <w:rsid w:val="00593588"/>
    <w:rsid w:val="00595ADD"/>
    <w:rsid w:val="005A3AC9"/>
    <w:rsid w:val="005A65EB"/>
    <w:rsid w:val="005A6C1F"/>
    <w:rsid w:val="005A6E50"/>
    <w:rsid w:val="005B180C"/>
    <w:rsid w:val="005B226E"/>
    <w:rsid w:val="005B510D"/>
    <w:rsid w:val="005D0631"/>
    <w:rsid w:val="005D110F"/>
    <w:rsid w:val="005D545F"/>
    <w:rsid w:val="005E19BB"/>
    <w:rsid w:val="005E4B42"/>
    <w:rsid w:val="005E6715"/>
    <w:rsid w:val="005F12A0"/>
    <w:rsid w:val="005F2332"/>
    <w:rsid w:val="005F4CB3"/>
    <w:rsid w:val="005F504D"/>
    <w:rsid w:val="005F6092"/>
    <w:rsid w:val="005F644F"/>
    <w:rsid w:val="00602CE7"/>
    <w:rsid w:val="00603C3F"/>
    <w:rsid w:val="006107D5"/>
    <w:rsid w:val="006133B5"/>
    <w:rsid w:val="00616F96"/>
    <w:rsid w:val="0062069A"/>
    <w:rsid w:val="006250CB"/>
    <w:rsid w:val="0062766A"/>
    <w:rsid w:val="00627B67"/>
    <w:rsid w:val="006351A4"/>
    <w:rsid w:val="0064165B"/>
    <w:rsid w:val="00641CD0"/>
    <w:rsid w:val="00645825"/>
    <w:rsid w:val="006473C8"/>
    <w:rsid w:val="006473F7"/>
    <w:rsid w:val="006505E4"/>
    <w:rsid w:val="00651029"/>
    <w:rsid w:val="006510C7"/>
    <w:rsid w:val="0065175C"/>
    <w:rsid w:val="0065354A"/>
    <w:rsid w:val="006539BB"/>
    <w:rsid w:val="006553B4"/>
    <w:rsid w:val="00655554"/>
    <w:rsid w:val="00656D13"/>
    <w:rsid w:val="00661026"/>
    <w:rsid w:val="0066382A"/>
    <w:rsid w:val="00670C89"/>
    <w:rsid w:val="00677A95"/>
    <w:rsid w:val="00681ED7"/>
    <w:rsid w:val="00682F61"/>
    <w:rsid w:val="00682F87"/>
    <w:rsid w:val="00685E2B"/>
    <w:rsid w:val="00690157"/>
    <w:rsid w:val="00695099"/>
    <w:rsid w:val="006A08FE"/>
    <w:rsid w:val="006A3C3D"/>
    <w:rsid w:val="006A50D8"/>
    <w:rsid w:val="006A5944"/>
    <w:rsid w:val="006A6336"/>
    <w:rsid w:val="006B4C1F"/>
    <w:rsid w:val="006B4DC3"/>
    <w:rsid w:val="006B6254"/>
    <w:rsid w:val="006B7912"/>
    <w:rsid w:val="006C3DF1"/>
    <w:rsid w:val="006C3F5C"/>
    <w:rsid w:val="006C6152"/>
    <w:rsid w:val="006D00E4"/>
    <w:rsid w:val="006E1734"/>
    <w:rsid w:val="006E2A3C"/>
    <w:rsid w:val="006E3B77"/>
    <w:rsid w:val="006E4C21"/>
    <w:rsid w:val="006E50DB"/>
    <w:rsid w:val="006E75B0"/>
    <w:rsid w:val="006F3E5D"/>
    <w:rsid w:val="006F4BFE"/>
    <w:rsid w:val="00703347"/>
    <w:rsid w:val="007037D2"/>
    <w:rsid w:val="007074ED"/>
    <w:rsid w:val="00713F0F"/>
    <w:rsid w:val="00715E23"/>
    <w:rsid w:val="00721CE7"/>
    <w:rsid w:val="0072266C"/>
    <w:rsid w:val="00727FE7"/>
    <w:rsid w:val="00732D55"/>
    <w:rsid w:val="00736F46"/>
    <w:rsid w:val="007436E7"/>
    <w:rsid w:val="00747C55"/>
    <w:rsid w:val="0075537A"/>
    <w:rsid w:val="007602D0"/>
    <w:rsid w:val="007635F0"/>
    <w:rsid w:val="00774E77"/>
    <w:rsid w:val="007770A1"/>
    <w:rsid w:val="007821F8"/>
    <w:rsid w:val="0078257C"/>
    <w:rsid w:val="007828AF"/>
    <w:rsid w:val="00786CCB"/>
    <w:rsid w:val="007A0AE3"/>
    <w:rsid w:val="007A1C8B"/>
    <w:rsid w:val="007A38E5"/>
    <w:rsid w:val="007B047B"/>
    <w:rsid w:val="007B11BD"/>
    <w:rsid w:val="007B512F"/>
    <w:rsid w:val="007B64CE"/>
    <w:rsid w:val="007B6963"/>
    <w:rsid w:val="007C1CE4"/>
    <w:rsid w:val="007C7444"/>
    <w:rsid w:val="007D2444"/>
    <w:rsid w:val="007D6801"/>
    <w:rsid w:val="007D7657"/>
    <w:rsid w:val="007D76FE"/>
    <w:rsid w:val="007D7D5E"/>
    <w:rsid w:val="007E10E4"/>
    <w:rsid w:val="007E1CA7"/>
    <w:rsid w:val="007E2FB2"/>
    <w:rsid w:val="007E551A"/>
    <w:rsid w:val="007E6280"/>
    <w:rsid w:val="007E77DF"/>
    <w:rsid w:val="007F2106"/>
    <w:rsid w:val="007F5868"/>
    <w:rsid w:val="007F5FDC"/>
    <w:rsid w:val="007F76E5"/>
    <w:rsid w:val="00802AA8"/>
    <w:rsid w:val="0080558D"/>
    <w:rsid w:val="00810A0D"/>
    <w:rsid w:val="00810CCA"/>
    <w:rsid w:val="0081666C"/>
    <w:rsid w:val="0081678E"/>
    <w:rsid w:val="00830B18"/>
    <w:rsid w:val="00832F92"/>
    <w:rsid w:val="0084257C"/>
    <w:rsid w:val="00844498"/>
    <w:rsid w:val="00844BAF"/>
    <w:rsid w:val="00845981"/>
    <w:rsid w:val="00845D7F"/>
    <w:rsid w:val="00851B46"/>
    <w:rsid w:val="00853E4F"/>
    <w:rsid w:val="00854C1D"/>
    <w:rsid w:val="00861941"/>
    <w:rsid w:val="008622B5"/>
    <w:rsid w:val="0086312C"/>
    <w:rsid w:val="00864382"/>
    <w:rsid w:val="0086667D"/>
    <w:rsid w:val="008668CA"/>
    <w:rsid w:val="0086741C"/>
    <w:rsid w:val="00867BE7"/>
    <w:rsid w:val="00874CFC"/>
    <w:rsid w:val="00875F37"/>
    <w:rsid w:val="00877B5C"/>
    <w:rsid w:val="00881A94"/>
    <w:rsid w:val="00881E37"/>
    <w:rsid w:val="00882066"/>
    <w:rsid w:val="00894AD7"/>
    <w:rsid w:val="00896B9B"/>
    <w:rsid w:val="008A17BF"/>
    <w:rsid w:val="008A4584"/>
    <w:rsid w:val="008A5306"/>
    <w:rsid w:val="008B0858"/>
    <w:rsid w:val="008B1F4B"/>
    <w:rsid w:val="008B4800"/>
    <w:rsid w:val="008C0695"/>
    <w:rsid w:val="008C0A2E"/>
    <w:rsid w:val="008C2D5B"/>
    <w:rsid w:val="008C3C06"/>
    <w:rsid w:val="008C7F93"/>
    <w:rsid w:val="008D01C3"/>
    <w:rsid w:val="008D0B48"/>
    <w:rsid w:val="008D0FFA"/>
    <w:rsid w:val="008D32C2"/>
    <w:rsid w:val="008D380E"/>
    <w:rsid w:val="008E025D"/>
    <w:rsid w:val="008E60A5"/>
    <w:rsid w:val="008E7BAB"/>
    <w:rsid w:val="008F15F2"/>
    <w:rsid w:val="008F3FF5"/>
    <w:rsid w:val="008F5206"/>
    <w:rsid w:val="008F5528"/>
    <w:rsid w:val="008F7536"/>
    <w:rsid w:val="009033A2"/>
    <w:rsid w:val="00904030"/>
    <w:rsid w:val="00905C38"/>
    <w:rsid w:val="009112EE"/>
    <w:rsid w:val="009117D0"/>
    <w:rsid w:val="00912B64"/>
    <w:rsid w:val="00913EAF"/>
    <w:rsid w:val="00915E5B"/>
    <w:rsid w:val="00921A1C"/>
    <w:rsid w:val="00921F50"/>
    <w:rsid w:val="0092464F"/>
    <w:rsid w:val="009248A8"/>
    <w:rsid w:val="009275F2"/>
    <w:rsid w:val="00933A8A"/>
    <w:rsid w:val="00934551"/>
    <w:rsid w:val="009349EC"/>
    <w:rsid w:val="00934B89"/>
    <w:rsid w:val="00937616"/>
    <w:rsid w:val="00941B29"/>
    <w:rsid w:val="009429DC"/>
    <w:rsid w:val="00943923"/>
    <w:rsid w:val="00943E12"/>
    <w:rsid w:val="009441E4"/>
    <w:rsid w:val="00944988"/>
    <w:rsid w:val="00944E7D"/>
    <w:rsid w:val="009453A7"/>
    <w:rsid w:val="0094637F"/>
    <w:rsid w:val="00951252"/>
    <w:rsid w:val="00960512"/>
    <w:rsid w:val="00964B3B"/>
    <w:rsid w:val="00965AD1"/>
    <w:rsid w:val="00965DD9"/>
    <w:rsid w:val="00966F7E"/>
    <w:rsid w:val="00981463"/>
    <w:rsid w:val="00981EF6"/>
    <w:rsid w:val="00987424"/>
    <w:rsid w:val="00987F16"/>
    <w:rsid w:val="00990A4B"/>
    <w:rsid w:val="00992676"/>
    <w:rsid w:val="009A2B02"/>
    <w:rsid w:val="009A46D4"/>
    <w:rsid w:val="009A5994"/>
    <w:rsid w:val="009B1CE5"/>
    <w:rsid w:val="009B4915"/>
    <w:rsid w:val="009C33AA"/>
    <w:rsid w:val="009C6266"/>
    <w:rsid w:val="009C6796"/>
    <w:rsid w:val="009C6BCD"/>
    <w:rsid w:val="009D383B"/>
    <w:rsid w:val="009D4A19"/>
    <w:rsid w:val="009D4BA4"/>
    <w:rsid w:val="009D644A"/>
    <w:rsid w:val="009D7ECD"/>
    <w:rsid w:val="009E52EA"/>
    <w:rsid w:val="009E5DFE"/>
    <w:rsid w:val="009F09EA"/>
    <w:rsid w:val="009F53B1"/>
    <w:rsid w:val="009F5A22"/>
    <w:rsid w:val="009F7531"/>
    <w:rsid w:val="00A016E6"/>
    <w:rsid w:val="00A04318"/>
    <w:rsid w:val="00A065E4"/>
    <w:rsid w:val="00A068D4"/>
    <w:rsid w:val="00A07016"/>
    <w:rsid w:val="00A07380"/>
    <w:rsid w:val="00A0774E"/>
    <w:rsid w:val="00A12956"/>
    <w:rsid w:val="00A14543"/>
    <w:rsid w:val="00A14609"/>
    <w:rsid w:val="00A15666"/>
    <w:rsid w:val="00A176A6"/>
    <w:rsid w:val="00A211F0"/>
    <w:rsid w:val="00A2201D"/>
    <w:rsid w:val="00A222ED"/>
    <w:rsid w:val="00A22C17"/>
    <w:rsid w:val="00A2327C"/>
    <w:rsid w:val="00A25029"/>
    <w:rsid w:val="00A3258F"/>
    <w:rsid w:val="00A33408"/>
    <w:rsid w:val="00A337F9"/>
    <w:rsid w:val="00A37434"/>
    <w:rsid w:val="00A47924"/>
    <w:rsid w:val="00A47E3B"/>
    <w:rsid w:val="00A507F6"/>
    <w:rsid w:val="00A5131A"/>
    <w:rsid w:val="00A6297A"/>
    <w:rsid w:val="00A67890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90B2A"/>
    <w:rsid w:val="00A95569"/>
    <w:rsid w:val="00AA0067"/>
    <w:rsid w:val="00AA20FD"/>
    <w:rsid w:val="00AA5095"/>
    <w:rsid w:val="00AA5D6B"/>
    <w:rsid w:val="00AA5E19"/>
    <w:rsid w:val="00AA5E66"/>
    <w:rsid w:val="00AB2F22"/>
    <w:rsid w:val="00AB4A97"/>
    <w:rsid w:val="00AB5CD7"/>
    <w:rsid w:val="00AC1714"/>
    <w:rsid w:val="00AC4CED"/>
    <w:rsid w:val="00AC732A"/>
    <w:rsid w:val="00AD0607"/>
    <w:rsid w:val="00AD1D3E"/>
    <w:rsid w:val="00AD41CB"/>
    <w:rsid w:val="00AD4D49"/>
    <w:rsid w:val="00AE00D4"/>
    <w:rsid w:val="00AE1CFB"/>
    <w:rsid w:val="00AE36DF"/>
    <w:rsid w:val="00AE563B"/>
    <w:rsid w:val="00AF020F"/>
    <w:rsid w:val="00AF10B8"/>
    <w:rsid w:val="00AF2729"/>
    <w:rsid w:val="00AF30ED"/>
    <w:rsid w:val="00AF45E4"/>
    <w:rsid w:val="00B03938"/>
    <w:rsid w:val="00B0432A"/>
    <w:rsid w:val="00B14469"/>
    <w:rsid w:val="00B14521"/>
    <w:rsid w:val="00B21022"/>
    <w:rsid w:val="00B24180"/>
    <w:rsid w:val="00B315D6"/>
    <w:rsid w:val="00B34C4B"/>
    <w:rsid w:val="00B3571B"/>
    <w:rsid w:val="00B37A9C"/>
    <w:rsid w:val="00B41CC0"/>
    <w:rsid w:val="00B458FD"/>
    <w:rsid w:val="00B46F51"/>
    <w:rsid w:val="00B5068F"/>
    <w:rsid w:val="00B51B57"/>
    <w:rsid w:val="00B552D9"/>
    <w:rsid w:val="00B57E98"/>
    <w:rsid w:val="00B57FA8"/>
    <w:rsid w:val="00B642B8"/>
    <w:rsid w:val="00B65D05"/>
    <w:rsid w:val="00B722DD"/>
    <w:rsid w:val="00B7677F"/>
    <w:rsid w:val="00B768E1"/>
    <w:rsid w:val="00B76A8F"/>
    <w:rsid w:val="00B8005C"/>
    <w:rsid w:val="00B8549F"/>
    <w:rsid w:val="00B878E1"/>
    <w:rsid w:val="00B90B5B"/>
    <w:rsid w:val="00B91F37"/>
    <w:rsid w:val="00B93881"/>
    <w:rsid w:val="00B9416B"/>
    <w:rsid w:val="00B96240"/>
    <w:rsid w:val="00B97351"/>
    <w:rsid w:val="00BA1284"/>
    <w:rsid w:val="00BA2C61"/>
    <w:rsid w:val="00BA32A7"/>
    <w:rsid w:val="00BA37A6"/>
    <w:rsid w:val="00BA3F00"/>
    <w:rsid w:val="00BA5BDC"/>
    <w:rsid w:val="00BB18D0"/>
    <w:rsid w:val="00BB4C7A"/>
    <w:rsid w:val="00BC0C15"/>
    <w:rsid w:val="00BC3BD5"/>
    <w:rsid w:val="00BC4D50"/>
    <w:rsid w:val="00BC679C"/>
    <w:rsid w:val="00BD0D2D"/>
    <w:rsid w:val="00BD0E92"/>
    <w:rsid w:val="00BD2B01"/>
    <w:rsid w:val="00BD36A3"/>
    <w:rsid w:val="00BE3212"/>
    <w:rsid w:val="00BE48EC"/>
    <w:rsid w:val="00BE51F7"/>
    <w:rsid w:val="00BE68A3"/>
    <w:rsid w:val="00BF55F6"/>
    <w:rsid w:val="00BF6A58"/>
    <w:rsid w:val="00BF7AC8"/>
    <w:rsid w:val="00C06850"/>
    <w:rsid w:val="00C12AEB"/>
    <w:rsid w:val="00C17D02"/>
    <w:rsid w:val="00C21771"/>
    <w:rsid w:val="00C22014"/>
    <w:rsid w:val="00C2204B"/>
    <w:rsid w:val="00C31507"/>
    <w:rsid w:val="00C31C36"/>
    <w:rsid w:val="00C338AA"/>
    <w:rsid w:val="00C402F1"/>
    <w:rsid w:val="00C413DC"/>
    <w:rsid w:val="00C45E9B"/>
    <w:rsid w:val="00C60420"/>
    <w:rsid w:val="00C60637"/>
    <w:rsid w:val="00C61F7E"/>
    <w:rsid w:val="00C63488"/>
    <w:rsid w:val="00C66366"/>
    <w:rsid w:val="00C67B87"/>
    <w:rsid w:val="00C7138B"/>
    <w:rsid w:val="00C74892"/>
    <w:rsid w:val="00C83A77"/>
    <w:rsid w:val="00C8473F"/>
    <w:rsid w:val="00C850DC"/>
    <w:rsid w:val="00C862A7"/>
    <w:rsid w:val="00C863FB"/>
    <w:rsid w:val="00C87D56"/>
    <w:rsid w:val="00C87D5E"/>
    <w:rsid w:val="00C87D81"/>
    <w:rsid w:val="00C90CAE"/>
    <w:rsid w:val="00C9123B"/>
    <w:rsid w:val="00C9380F"/>
    <w:rsid w:val="00CA0DB0"/>
    <w:rsid w:val="00CA25A0"/>
    <w:rsid w:val="00CA3C16"/>
    <w:rsid w:val="00CA5291"/>
    <w:rsid w:val="00CA55B5"/>
    <w:rsid w:val="00CA772A"/>
    <w:rsid w:val="00CB230A"/>
    <w:rsid w:val="00CB2D24"/>
    <w:rsid w:val="00CB3673"/>
    <w:rsid w:val="00CB5E06"/>
    <w:rsid w:val="00CB6CF7"/>
    <w:rsid w:val="00CC3A46"/>
    <w:rsid w:val="00CC7171"/>
    <w:rsid w:val="00CD03DE"/>
    <w:rsid w:val="00CD3841"/>
    <w:rsid w:val="00CD4CBB"/>
    <w:rsid w:val="00CD5C2E"/>
    <w:rsid w:val="00CD5F14"/>
    <w:rsid w:val="00CD5F26"/>
    <w:rsid w:val="00CD7660"/>
    <w:rsid w:val="00CE4847"/>
    <w:rsid w:val="00CE61DC"/>
    <w:rsid w:val="00CE6D41"/>
    <w:rsid w:val="00CF47E7"/>
    <w:rsid w:val="00CF680F"/>
    <w:rsid w:val="00CF7C50"/>
    <w:rsid w:val="00D04FAE"/>
    <w:rsid w:val="00D06B51"/>
    <w:rsid w:val="00D12E6D"/>
    <w:rsid w:val="00D148FA"/>
    <w:rsid w:val="00D1674B"/>
    <w:rsid w:val="00D24AD3"/>
    <w:rsid w:val="00D24E33"/>
    <w:rsid w:val="00D273CC"/>
    <w:rsid w:val="00D3031C"/>
    <w:rsid w:val="00D37C25"/>
    <w:rsid w:val="00D447B7"/>
    <w:rsid w:val="00D45648"/>
    <w:rsid w:val="00D51014"/>
    <w:rsid w:val="00D51473"/>
    <w:rsid w:val="00D53B2E"/>
    <w:rsid w:val="00D60F9D"/>
    <w:rsid w:val="00D6224F"/>
    <w:rsid w:val="00D67B59"/>
    <w:rsid w:val="00D71CD4"/>
    <w:rsid w:val="00D72006"/>
    <w:rsid w:val="00D73094"/>
    <w:rsid w:val="00D730BC"/>
    <w:rsid w:val="00D75340"/>
    <w:rsid w:val="00D761E0"/>
    <w:rsid w:val="00D76C69"/>
    <w:rsid w:val="00D81FFE"/>
    <w:rsid w:val="00D86C04"/>
    <w:rsid w:val="00D93D8B"/>
    <w:rsid w:val="00D93EF0"/>
    <w:rsid w:val="00D94459"/>
    <w:rsid w:val="00D950EE"/>
    <w:rsid w:val="00D9647C"/>
    <w:rsid w:val="00D96ADC"/>
    <w:rsid w:val="00DA0739"/>
    <w:rsid w:val="00DA1F48"/>
    <w:rsid w:val="00DB268C"/>
    <w:rsid w:val="00DB333B"/>
    <w:rsid w:val="00DB620F"/>
    <w:rsid w:val="00DB6648"/>
    <w:rsid w:val="00DC1FE6"/>
    <w:rsid w:val="00DC2431"/>
    <w:rsid w:val="00DC4AF5"/>
    <w:rsid w:val="00DC7A86"/>
    <w:rsid w:val="00DD0C41"/>
    <w:rsid w:val="00DD6940"/>
    <w:rsid w:val="00DE4D88"/>
    <w:rsid w:val="00DE4EB7"/>
    <w:rsid w:val="00DE4FA5"/>
    <w:rsid w:val="00DF5DB4"/>
    <w:rsid w:val="00DF60B5"/>
    <w:rsid w:val="00E00705"/>
    <w:rsid w:val="00E007DB"/>
    <w:rsid w:val="00E01946"/>
    <w:rsid w:val="00E046D1"/>
    <w:rsid w:val="00E04EF8"/>
    <w:rsid w:val="00E10303"/>
    <w:rsid w:val="00E11A63"/>
    <w:rsid w:val="00E11BCE"/>
    <w:rsid w:val="00E11D82"/>
    <w:rsid w:val="00E12CD6"/>
    <w:rsid w:val="00E14F76"/>
    <w:rsid w:val="00E15333"/>
    <w:rsid w:val="00E1693F"/>
    <w:rsid w:val="00E16DF5"/>
    <w:rsid w:val="00E274C9"/>
    <w:rsid w:val="00E27C03"/>
    <w:rsid w:val="00E33A6B"/>
    <w:rsid w:val="00E34291"/>
    <w:rsid w:val="00E34527"/>
    <w:rsid w:val="00E350C4"/>
    <w:rsid w:val="00E3741E"/>
    <w:rsid w:val="00E45975"/>
    <w:rsid w:val="00E5360E"/>
    <w:rsid w:val="00E55372"/>
    <w:rsid w:val="00E5715B"/>
    <w:rsid w:val="00E61DAA"/>
    <w:rsid w:val="00E6324C"/>
    <w:rsid w:val="00E65BB0"/>
    <w:rsid w:val="00E703BA"/>
    <w:rsid w:val="00E74DDF"/>
    <w:rsid w:val="00E7780A"/>
    <w:rsid w:val="00E81172"/>
    <w:rsid w:val="00E84438"/>
    <w:rsid w:val="00E861E7"/>
    <w:rsid w:val="00E9165A"/>
    <w:rsid w:val="00E94156"/>
    <w:rsid w:val="00E94A42"/>
    <w:rsid w:val="00E96D30"/>
    <w:rsid w:val="00EA0B7A"/>
    <w:rsid w:val="00EA4FF4"/>
    <w:rsid w:val="00EA58EF"/>
    <w:rsid w:val="00EA6089"/>
    <w:rsid w:val="00EA7409"/>
    <w:rsid w:val="00EA749F"/>
    <w:rsid w:val="00EB1A34"/>
    <w:rsid w:val="00EB1B9E"/>
    <w:rsid w:val="00EB4EB4"/>
    <w:rsid w:val="00EB54FB"/>
    <w:rsid w:val="00EB70E2"/>
    <w:rsid w:val="00EC03B8"/>
    <w:rsid w:val="00EC3D4A"/>
    <w:rsid w:val="00EC7B92"/>
    <w:rsid w:val="00ED0A42"/>
    <w:rsid w:val="00ED6F9F"/>
    <w:rsid w:val="00EE4309"/>
    <w:rsid w:val="00EE5EFB"/>
    <w:rsid w:val="00EE790E"/>
    <w:rsid w:val="00EF0B5C"/>
    <w:rsid w:val="00EF1A07"/>
    <w:rsid w:val="00EF458A"/>
    <w:rsid w:val="00F007C9"/>
    <w:rsid w:val="00F03483"/>
    <w:rsid w:val="00F0546A"/>
    <w:rsid w:val="00F10484"/>
    <w:rsid w:val="00F11232"/>
    <w:rsid w:val="00F1203A"/>
    <w:rsid w:val="00F12956"/>
    <w:rsid w:val="00F20521"/>
    <w:rsid w:val="00F2085B"/>
    <w:rsid w:val="00F265FE"/>
    <w:rsid w:val="00F31FB5"/>
    <w:rsid w:val="00F35A3D"/>
    <w:rsid w:val="00F376C4"/>
    <w:rsid w:val="00F37A97"/>
    <w:rsid w:val="00F46AFC"/>
    <w:rsid w:val="00F51108"/>
    <w:rsid w:val="00F51F10"/>
    <w:rsid w:val="00F53C03"/>
    <w:rsid w:val="00F63362"/>
    <w:rsid w:val="00F64639"/>
    <w:rsid w:val="00F651E5"/>
    <w:rsid w:val="00F73FF5"/>
    <w:rsid w:val="00F740E4"/>
    <w:rsid w:val="00F7410A"/>
    <w:rsid w:val="00F81850"/>
    <w:rsid w:val="00F82A74"/>
    <w:rsid w:val="00F8501C"/>
    <w:rsid w:val="00F97B37"/>
    <w:rsid w:val="00FA06B1"/>
    <w:rsid w:val="00FA3B3E"/>
    <w:rsid w:val="00FB24E1"/>
    <w:rsid w:val="00FB51BA"/>
    <w:rsid w:val="00FC085A"/>
    <w:rsid w:val="00FC3FD7"/>
    <w:rsid w:val="00FD650C"/>
    <w:rsid w:val="00FD6AE0"/>
    <w:rsid w:val="214346F9"/>
    <w:rsid w:val="2D8C1289"/>
    <w:rsid w:val="2F79D3C6"/>
    <w:rsid w:val="587ADA22"/>
    <w:rsid w:val="76DE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05D346AD-982E-41C9-A6D4-44BD3A19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7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7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845D8-C76A-40ED-B886-69AEFAB4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63D73-1F48-4E1A-BBDF-A2E4FD42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1194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Lucia Cennerazzo</cp:lastModifiedBy>
  <cp:revision>9</cp:revision>
  <cp:lastPrinted>2024-02-26T07:53:00Z</cp:lastPrinted>
  <dcterms:created xsi:type="dcterms:W3CDTF">2025-03-03T09:49:00Z</dcterms:created>
  <dcterms:modified xsi:type="dcterms:W3CDTF">2025-09-25T11:52:00Z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